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B99C" w14:textId="77777777" w:rsidR="00672DBB" w:rsidRPr="00A174C7" w:rsidRDefault="00A174C7" w:rsidP="009027F9">
      <w:pPr>
        <w:tabs>
          <w:tab w:val="left" w:pos="1080"/>
        </w:tabs>
        <w:jc w:val="center"/>
        <w:rPr>
          <w:rFonts w:ascii="Times New Roman" w:hAnsi="Times New Roman" w:cs="Times New Roman"/>
        </w:rPr>
      </w:pPr>
      <w:r w:rsidRPr="00A174C7">
        <w:rPr>
          <w:rFonts w:ascii="Times New Roman" w:hAnsi="Times New Roman" w:cs="Times New Roman"/>
        </w:rPr>
        <w:t>Perspectives on Causation</w:t>
      </w:r>
    </w:p>
    <w:p w14:paraId="029963C0" w14:textId="77777777" w:rsidR="00A174C7" w:rsidRPr="009C11EF" w:rsidRDefault="00A174C7" w:rsidP="009027F9">
      <w:pPr>
        <w:tabs>
          <w:tab w:val="left" w:pos="1080"/>
        </w:tabs>
        <w:jc w:val="center"/>
        <w:rPr>
          <w:rFonts w:ascii="Times New Roman" w:hAnsi="Times New Roman" w:cs="Times New Roman"/>
        </w:rPr>
      </w:pPr>
      <w:r w:rsidRPr="009C11EF">
        <w:rPr>
          <w:rFonts w:ascii="Times New Roman" w:hAnsi="Times New Roman" w:cs="Times New Roman"/>
        </w:rPr>
        <w:t>Fall 2022</w:t>
      </w:r>
    </w:p>
    <w:p w14:paraId="51947A91" w14:textId="77777777" w:rsidR="00A174C7" w:rsidRPr="009C11EF" w:rsidRDefault="00A174C7" w:rsidP="009027F9">
      <w:pPr>
        <w:tabs>
          <w:tab w:val="left" w:pos="1080"/>
        </w:tabs>
        <w:jc w:val="center"/>
        <w:rPr>
          <w:rFonts w:ascii="Times New Roman" w:hAnsi="Times New Roman" w:cs="Times New Roman"/>
        </w:rPr>
      </w:pPr>
      <w:r w:rsidRPr="009C11EF">
        <w:rPr>
          <w:rFonts w:ascii="Times New Roman" w:hAnsi="Times New Roman" w:cs="Times New Roman"/>
        </w:rPr>
        <w:t>Karen Bennett and Carolina Sartorio</w:t>
      </w:r>
    </w:p>
    <w:p w14:paraId="482EE0E6" w14:textId="77777777" w:rsidR="008D146E" w:rsidRPr="000F3C5D" w:rsidRDefault="000F3C5D" w:rsidP="009027F9">
      <w:pPr>
        <w:tabs>
          <w:tab w:val="left" w:pos="1080"/>
        </w:tabs>
        <w:jc w:val="center"/>
        <w:rPr>
          <w:rFonts w:ascii="Times New Roman" w:hAnsi="Times New Roman" w:cs="Times New Roman"/>
        </w:rPr>
      </w:pPr>
      <w:r w:rsidRPr="000F3C5D">
        <w:rPr>
          <w:rFonts w:ascii="Times New Roman" w:hAnsi="Times New Roman" w:cs="Times New Roman"/>
        </w:rPr>
        <w:t>Tuesdays 3-6</w:t>
      </w:r>
    </w:p>
    <w:p w14:paraId="4976A854" w14:textId="77777777" w:rsidR="00A174C7" w:rsidRPr="000F3C5D" w:rsidRDefault="00A174C7" w:rsidP="009027F9">
      <w:pPr>
        <w:tabs>
          <w:tab w:val="left" w:pos="1080"/>
        </w:tabs>
        <w:rPr>
          <w:rFonts w:ascii="Times New Roman" w:hAnsi="Times New Roman" w:cs="Times New Roman"/>
        </w:rPr>
      </w:pPr>
    </w:p>
    <w:p w14:paraId="0E001A09" w14:textId="5188EDB7" w:rsidR="00491743" w:rsidRPr="00491743" w:rsidRDefault="00491743" w:rsidP="009027F9">
      <w:pPr>
        <w:tabs>
          <w:tab w:val="left" w:pos="1080"/>
        </w:tabs>
        <w:rPr>
          <w:rFonts w:ascii="Times New Roman" w:eastAsia="Times New Roman" w:hAnsi="Times New Roman" w:cs="Times New Roman"/>
          <w:color w:val="000000"/>
          <w:lang w:eastAsia="en-US"/>
        </w:rPr>
      </w:pPr>
      <w:r w:rsidRPr="00491743">
        <w:rPr>
          <w:rFonts w:ascii="Times New Roman" w:eastAsia="Times New Roman" w:hAnsi="Times New Roman" w:cs="Times New Roman"/>
          <w:color w:val="000000"/>
          <w:lang w:eastAsia="en-US"/>
        </w:rPr>
        <w:t xml:space="preserve">This class will cover causation from a variety of angles. </w:t>
      </w:r>
      <w:r w:rsidR="009027F9">
        <w:rPr>
          <w:rFonts w:ascii="Times New Roman" w:eastAsia="Times New Roman" w:hAnsi="Times New Roman" w:cs="Times New Roman"/>
          <w:color w:val="000000"/>
          <w:lang w:eastAsia="en-US"/>
        </w:rPr>
        <w:t xml:space="preserve"> </w:t>
      </w:r>
      <w:r w:rsidRPr="00491743">
        <w:rPr>
          <w:rFonts w:ascii="Times New Roman" w:eastAsia="Times New Roman" w:hAnsi="Times New Roman" w:cs="Times New Roman"/>
          <w:color w:val="000000"/>
          <w:lang w:eastAsia="en-US"/>
        </w:rPr>
        <w:t xml:space="preserve">We will discuss the metaphysics of causation, </w:t>
      </w:r>
      <w:r w:rsidR="009027F9">
        <w:rPr>
          <w:rFonts w:ascii="Times New Roman" w:eastAsia="Times New Roman" w:hAnsi="Times New Roman" w:cs="Times New Roman"/>
          <w:color w:val="000000"/>
          <w:lang w:eastAsia="en-US"/>
        </w:rPr>
        <w:t xml:space="preserve">what we want from a theory of causation, the relation between </w:t>
      </w:r>
      <w:r w:rsidR="004B3F63">
        <w:rPr>
          <w:rFonts w:ascii="Times New Roman" w:eastAsia="Times New Roman" w:hAnsi="Times New Roman" w:cs="Times New Roman"/>
          <w:color w:val="000000"/>
          <w:lang w:eastAsia="en-US"/>
        </w:rPr>
        <w:t xml:space="preserve">token causation and causal generalizations, </w:t>
      </w:r>
      <w:r w:rsidR="001D3837">
        <w:rPr>
          <w:rFonts w:ascii="Times New Roman" w:eastAsia="Times New Roman" w:hAnsi="Times New Roman" w:cs="Times New Roman"/>
          <w:color w:val="000000"/>
          <w:lang w:eastAsia="en-US"/>
        </w:rPr>
        <w:t xml:space="preserve">the causal relata, causation by omission, </w:t>
      </w:r>
      <w:r w:rsidR="004B3F63">
        <w:rPr>
          <w:rFonts w:ascii="Times New Roman" w:eastAsia="Times New Roman" w:hAnsi="Times New Roman" w:cs="Times New Roman"/>
          <w:color w:val="000000"/>
          <w:lang w:eastAsia="en-US"/>
        </w:rPr>
        <w:t xml:space="preserve">the relation between </w:t>
      </w:r>
      <w:r w:rsidR="009027F9">
        <w:rPr>
          <w:rFonts w:ascii="Times New Roman" w:eastAsia="Times New Roman" w:hAnsi="Times New Roman" w:cs="Times New Roman"/>
          <w:color w:val="000000"/>
          <w:lang w:eastAsia="en-US"/>
        </w:rPr>
        <w:t xml:space="preserve">causation and grounding, and </w:t>
      </w:r>
      <w:r w:rsidRPr="00491743">
        <w:rPr>
          <w:rFonts w:ascii="Times New Roman" w:eastAsia="Times New Roman" w:hAnsi="Times New Roman" w:cs="Times New Roman"/>
          <w:color w:val="000000"/>
          <w:lang w:eastAsia="en-US"/>
        </w:rPr>
        <w:t>connections between causation, free will, and moral responsibility</w:t>
      </w:r>
      <w:r w:rsidR="009027F9">
        <w:rPr>
          <w:rFonts w:ascii="Times New Roman" w:eastAsia="Times New Roman" w:hAnsi="Times New Roman" w:cs="Times New Roman"/>
          <w:color w:val="000000"/>
          <w:lang w:eastAsia="en-US"/>
        </w:rPr>
        <w:t xml:space="preserve">.  </w:t>
      </w:r>
      <w:r w:rsidRPr="00491743">
        <w:rPr>
          <w:rFonts w:ascii="Times New Roman" w:eastAsia="Times New Roman" w:hAnsi="Times New Roman" w:cs="Times New Roman"/>
          <w:color w:val="000000"/>
          <w:lang w:eastAsia="en-US"/>
        </w:rPr>
        <w:t>We hope these different angles will inform each other.</w:t>
      </w:r>
    </w:p>
    <w:p w14:paraId="34F38B2F" w14:textId="77777777" w:rsidR="00491743" w:rsidRPr="00491743" w:rsidRDefault="00491743" w:rsidP="009027F9">
      <w:pPr>
        <w:tabs>
          <w:tab w:val="left" w:pos="1080"/>
        </w:tabs>
        <w:rPr>
          <w:rFonts w:ascii="Times New Roman" w:eastAsia="Times New Roman" w:hAnsi="Times New Roman" w:cs="Times New Roman"/>
          <w:lang w:eastAsia="en-US"/>
        </w:rPr>
      </w:pPr>
    </w:p>
    <w:p w14:paraId="59105967" w14:textId="2CA5FAAE" w:rsidR="00977ACE" w:rsidRDefault="00977ACE" w:rsidP="009027F9">
      <w:pPr>
        <w:tabs>
          <w:tab w:val="left" w:pos="1080"/>
        </w:tabs>
        <w:rPr>
          <w:rFonts w:ascii="Times New Roman" w:hAnsi="Times New Roman" w:cs="Times New Roman"/>
        </w:rPr>
      </w:pPr>
      <w:r>
        <w:rPr>
          <w:rFonts w:ascii="Times New Roman" w:hAnsi="Times New Roman" w:cs="Times New Roman"/>
        </w:rPr>
        <w:t>Th</w:t>
      </w:r>
      <w:r w:rsidR="00215A5A">
        <w:rPr>
          <w:rFonts w:ascii="Times New Roman" w:hAnsi="Times New Roman" w:cs="Times New Roman"/>
        </w:rPr>
        <w:t>is</w:t>
      </w:r>
      <w:r>
        <w:rPr>
          <w:rFonts w:ascii="Times New Roman" w:hAnsi="Times New Roman" w:cs="Times New Roman"/>
        </w:rPr>
        <w:t xml:space="preserve"> course will be in person in the department seminar room</w:t>
      </w:r>
      <w:r w:rsidR="00B71CAE">
        <w:rPr>
          <w:rFonts w:ascii="Times New Roman" w:hAnsi="Times New Roman" w:cs="Times New Roman"/>
        </w:rPr>
        <w:t xml:space="preserve"> (534)</w:t>
      </w:r>
      <w:r>
        <w:rPr>
          <w:rFonts w:ascii="Times New Roman" w:hAnsi="Times New Roman" w:cs="Times New Roman"/>
        </w:rPr>
        <w:t>, though Carolina will largely be joining us over zoom.  On rare occasions, with a good reason such as illness or conference travel, students can request in advance to join by zoom</w:t>
      </w:r>
      <w:r w:rsidR="009F05CA">
        <w:rPr>
          <w:rFonts w:ascii="Times New Roman" w:hAnsi="Times New Roman" w:cs="Times New Roman"/>
        </w:rPr>
        <w:t xml:space="preserve"> (available through Canvas)</w:t>
      </w:r>
      <w:r>
        <w:rPr>
          <w:rFonts w:ascii="Times New Roman" w:hAnsi="Times New Roman" w:cs="Times New Roman"/>
        </w:rPr>
        <w:t>.  But we do intend this to be a primarily in-person seminar.</w:t>
      </w:r>
    </w:p>
    <w:p w14:paraId="4136986B" w14:textId="77777777" w:rsidR="00977ACE" w:rsidRPr="000F3C5D" w:rsidRDefault="00977ACE" w:rsidP="009027F9">
      <w:pPr>
        <w:tabs>
          <w:tab w:val="left" w:pos="1080"/>
        </w:tabs>
        <w:rPr>
          <w:rFonts w:ascii="Times New Roman" w:hAnsi="Times New Roman" w:cs="Times New Roman"/>
        </w:rPr>
      </w:pPr>
    </w:p>
    <w:p w14:paraId="62E67F6E" w14:textId="2E497DE3" w:rsidR="0013644F" w:rsidRDefault="00A174C7" w:rsidP="0013644F">
      <w:pPr>
        <w:pStyle w:val="Body"/>
        <w:tabs>
          <w:tab w:val="left" w:pos="1080"/>
        </w:tabs>
        <w:rPr>
          <w:rFonts w:ascii="Times New Roman" w:hAnsi="Times New Roman" w:cs="Times New Roman"/>
          <w:color w:val="000000" w:themeColor="text1"/>
          <w:sz w:val="24"/>
          <w:szCs w:val="24"/>
        </w:rPr>
      </w:pPr>
      <w:r w:rsidRPr="00A174C7">
        <w:rPr>
          <w:rFonts w:ascii="Times New Roman" w:hAnsi="Times New Roman" w:cs="Times New Roman"/>
          <w:b/>
          <w:bCs/>
          <w:color w:val="000000" w:themeColor="text1"/>
          <w:sz w:val="24"/>
          <w:szCs w:val="24"/>
        </w:rPr>
        <w:t>Requirements:</w:t>
      </w:r>
      <w:r w:rsidRPr="00A174C7">
        <w:rPr>
          <w:rFonts w:ascii="Times New Roman" w:hAnsi="Times New Roman" w:cs="Times New Roman"/>
          <w:color w:val="000000" w:themeColor="text1"/>
          <w:sz w:val="24"/>
          <w:szCs w:val="24"/>
        </w:rPr>
        <w:t xml:space="preserve"> </w:t>
      </w:r>
      <w:r w:rsidR="000F3C5D">
        <w:rPr>
          <w:rFonts w:ascii="Times New Roman" w:hAnsi="Times New Roman" w:cs="Times New Roman"/>
          <w:color w:val="000000" w:themeColor="text1"/>
          <w:sz w:val="24"/>
          <w:szCs w:val="24"/>
        </w:rPr>
        <w:t xml:space="preserve"> </w:t>
      </w:r>
      <w:r w:rsidR="009027F9">
        <w:rPr>
          <w:rFonts w:ascii="Times New Roman" w:hAnsi="Times New Roman" w:cs="Times New Roman"/>
          <w:color w:val="000000" w:themeColor="text1"/>
          <w:sz w:val="24"/>
          <w:szCs w:val="24"/>
        </w:rPr>
        <w:t>These will differ between undergrads and grad students, as well as between grad students taking the</w:t>
      </w:r>
      <w:r w:rsidR="000F3C5D">
        <w:rPr>
          <w:rFonts w:ascii="Times New Roman" w:hAnsi="Times New Roman" w:cs="Times New Roman"/>
          <w:color w:val="000000" w:themeColor="text1"/>
          <w:sz w:val="24"/>
          <w:szCs w:val="24"/>
        </w:rPr>
        <w:t xml:space="preserve"> class </w:t>
      </w:r>
      <w:r w:rsidR="009027F9">
        <w:rPr>
          <w:rFonts w:ascii="Times New Roman" w:hAnsi="Times New Roman" w:cs="Times New Roman"/>
          <w:color w:val="000000" w:themeColor="text1"/>
          <w:sz w:val="24"/>
          <w:szCs w:val="24"/>
        </w:rPr>
        <w:t>as a</w:t>
      </w:r>
      <w:r w:rsidR="000F3C5D">
        <w:rPr>
          <w:rFonts w:ascii="Times New Roman" w:hAnsi="Times New Roman" w:cs="Times New Roman"/>
          <w:color w:val="000000" w:themeColor="text1"/>
          <w:sz w:val="24"/>
          <w:szCs w:val="24"/>
        </w:rPr>
        <w:t xml:space="preserve"> “research</w:t>
      </w:r>
      <w:r w:rsidR="0077142D">
        <w:rPr>
          <w:rFonts w:ascii="Times New Roman" w:hAnsi="Times New Roman" w:cs="Times New Roman"/>
          <w:color w:val="000000" w:themeColor="text1"/>
          <w:sz w:val="24"/>
          <w:szCs w:val="24"/>
        </w:rPr>
        <w:t xml:space="preserve"> seminar</w:t>
      </w:r>
      <w:r w:rsidR="000F3C5D">
        <w:rPr>
          <w:rFonts w:ascii="Times New Roman" w:hAnsi="Times New Roman" w:cs="Times New Roman"/>
          <w:color w:val="000000" w:themeColor="text1"/>
          <w:sz w:val="24"/>
          <w:szCs w:val="24"/>
        </w:rPr>
        <w:t>”</w:t>
      </w:r>
      <w:r w:rsidR="0077142D">
        <w:rPr>
          <w:rFonts w:ascii="Times New Roman" w:hAnsi="Times New Roman" w:cs="Times New Roman"/>
          <w:color w:val="000000" w:themeColor="text1"/>
          <w:sz w:val="24"/>
          <w:szCs w:val="24"/>
        </w:rPr>
        <w:t xml:space="preserve"> </w:t>
      </w:r>
      <w:r w:rsidR="009027F9">
        <w:rPr>
          <w:rFonts w:ascii="Times New Roman" w:hAnsi="Times New Roman" w:cs="Times New Roman"/>
          <w:color w:val="000000" w:themeColor="text1"/>
          <w:sz w:val="24"/>
          <w:szCs w:val="24"/>
        </w:rPr>
        <w:t>vs.</w:t>
      </w:r>
      <w:r w:rsidR="0077142D">
        <w:rPr>
          <w:rFonts w:ascii="Times New Roman" w:hAnsi="Times New Roman" w:cs="Times New Roman"/>
          <w:color w:val="000000" w:themeColor="text1"/>
          <w:sz w:val="24"/>
          <w:szCs w:val="24"/>
        </w:rPr>
        <w:t xml:space="preserve"> </w:t>
      </w:r>
      <w:r w:rsidR="000F3C5D">
        <w:rPr>
          <w:rFonts w:ascii="Times New Roman" w:hAnsi="Times New Roman" w:cs="Times New Roman"/>
          <w:color w:val="000000" w:themeColor="text1"/>
          <w:sz w:val="24"/>
          <w:szCs w:val="24"/>
        </w:rPr>
        <w:t>a “non-research seminar”</w:t>
      </w:r>
      <w:r w:rsidR="00443670">
        <w:rPr>
          <w:rFonts w:ascii="Times New Roman" w:hAnsi="Times New Roman" w:cs="Times New Roman"/>
          <w:color w:val="000000" w:themeColor="text1"/>
          <w:sz w:val="24"/>
          <w:szCs w:val="24"/>
        </w:rPr>
        <w:t xml:space="preserve"> </w:t>
      </w:r>
      <w:r w:rsidR="00E75067">
        <w:rPr>
          <w:rFonts w:ascii="Times New Roman" w:hAnsi="Times New Roman" w:cs="Times New Roman"/>
          <w:color w:val="000000" w:themeColor="text1"/>
          <w:sz w:val="24"/>
          <w:szCs w:val="24"/>
        </w:rPr>
        <w:t>(</w:t>
      </w:r>
      <w:r w:rsidR="009027F9">
        <w:rPr>
          <w:rFonts w:ascii="Times New Roman" w:hAnsi="Times New Roman" w:cs="Times New Roman"/>
          <w:color w:val="000000" w:themeColor="text1"/>
          <w:sz w:val="24"/>
          <w:szCs w:val="24"/>
        </w:rPr>
        <w:t>s</w:t>
      </w:r>
      <w:r w:rsidR="00443670">
        <w:rPr>
          <w:rFonts w:ascii="Times New Roman" w:hAnsi="Times New Roman" w:cs="Times New Roman"/>
          <w:color w:val="000000" w:themeColor="text1"/>
          <w:sz w:val="24"/>
          <w:szCs w:val="24"/>
        </w:rPr>
        <w:t xml:space="preserve">ee </w:t>
      </w:r>
      <w:r w:rsidR="008165F3">
        <w:rPr>
          <w:rFonts w:ascii="Times New Roman" w:hAnsi="Times New Roman" w:cs="Times New Roman"/>
          <w:color w:val="000000" w:themeColor="text1"/>
          <w:sz w:val="24"/>
          <w:szCs w:val="24"/>
        </w:rPr>
        <w:t>https://philosophy.rutgers.</w:t>
      </w:r>
      <w:r w:rsidR="008165F3" w:rsidRPr="00443670">
        <w:rPr>
          <w:rFonts w:ascii="Times New Roman" w:hAnsi="Times New Roman" w:cs="Times New Roman"/>
          <w:color w:val="000000" w:themeColor="text1"/>
          <w:sz w:val="24"/>
          <w:szCs w:val="24"/>
        </w:rPr>
        <w:t>edu/phd-requirements</w:t>
      </w:r>
      <w:r w:rsidR="008165F3">
        <w:rPr>
          <w:rFonts w:ascii="Times New Roman" w:hAnsi="Times New Roman" w:cs="Times New Roman"/>
          <w:color w:val="000000" w:themeColor="text1"/>
          <w:sz w:val="24"/>
          <w:szCs w:val="24"/>
        </w:rPr>
        <w:t xml:space="preserve">).  </w:t>
      </w:r>
      <w:r w:rsidR="0013644F">
        <w:rPr>
          <w:rFonts w:ascii="Times New Roman" w:hAnsi="Times New Roman" w:cs="Times New Roman"/>
          <w:color w:val="000000" w:themeColor="text1"/>
          <w:sz w:val="24"/>
          <w:szCs w:val="24"/>
        </w:rPr>
        <w:t xml:space="preserve">But the basic </w:t>
      </w:r>
      <w:r w:rsidR="00CE0B27">
        <w:rPr>
          <w:rFonts w:ascii="Times New Roman" w:hAnsi="Times New Roman" w:cs="Times New Roman"/>
          <w:color w:val="000000" w:themeColor="text1"/>
          <w:sz w:val="24"/>
          <w:szCs w:val="24"/>
        </w:rPr>
        <w:t>idea</w:t>
      </w:r>
      <w:r w:rsidR="0013644F">
        <w:rPr>
          <w:rFonts w:ascii="Times New Roman" w:hAnsi="Times New Roman" w:cs="Times New Roman"/>
          <w:color w:val="000000" w:themeColor="text1"/>
          <w:sz w:val="24"/>
          <w:szCs w:val="24"/>
        </w:rPr>
        <w:t xml:space="preserve">, details below, </w:t>
      </w:r>
      <w:r w:rsidR="00CE0B27">
        <w:rPr>
          <w:rFonts w:ascii="Times New Roman" w:hAnsi="Times New Roman" w:cs="Times New Roman"/>
          <w:color w:val="000000" w:themeColor="text1"/>
          <w:sz w:val="24"/>
          <w:szCs w:val="24"/>
        </w:rPr>
        <w:t>involves</w:t>
      </w:r>
      <w:r w:rsidR="0013644F">
        <w:rPr>
          <w:rFonts w:ascii="Times New Roman" w:hAnsi="Times New Roman" w:cs="Times New Roman"/>
          <w:color w:val="000000" w:themeColor="text1"/>
          <w:sz w:val="24"/>
          <w:szCs w:val="24"/>
        </w:rPr>
        <w:t xml:space="preserve"> short presentation</w:t>
      </w:r>
      <w:r w:rsidR="00CE0B27">
        <w:rPr>
          <w:rFonts w:ascii="Times New Roman" w:hAnsi="Times New Roman" w:cs="Times New Roman"/>
          <w:color w:val="000000" w:themeColor="text1"/>
          <w:sz w:val="24"/>
          <w:szCs w:val="24"/>
        </w:rPr>
        <w:t>s</w:t>
      </w:r>
      <w:r w:rsidR="0013644F">
        <w:rPr>
          <w:rFonts w:ascii="Times New Roman" w:hAnsi="Times New Roman" w:cs="Times New Roman"/>
          <w:color w:val="000000" w:themeColor="text1"/>
          <w:sz w:val="24"/>
          <w:szCs w:val="24"/>
        </w:rPr>
        <w:t xml:space="preserve"> &amp; paper</w:t>
      </w:r>
      <w:r w:rsidR="00CE0B27">
        <w:rPr>
          <w:rFonts w:ascii="Times New Roman" w:hAnsi="Times New Roman" w:cs="Times New Roman"/>
          <w:color w:val="000000" w:themeColor="text1"/>
          <w:sz w:val="24"/>
          <w:szCs w:val="24"/>
        </w:rPr>
        <w:t>s</w:t>
      </w:r>
      <w:r w:rsidR="0013644F">
        <w:rPr>
          <w:rFonts w:ascii="Times New Roman" w:hAnsi="Times New Roman" w:cs="Times New Roman"/>
          <w:color w:val="000000" w:themeColor="text1"/>
          <w:sz w:val="24"/>
          <w:szCs w:val="24"/>
        </w:rPr>
        <w:t xml:space="preserve"> followed by revision.  </w:t>
      </w:r>
      <w:r w:rsidR="008F6311">
        <w:rPr>
          <w:rFonts w:ascii="Times New Roman" w:hAnsi="Times New Roman" w:cs="Times New Roman"/>
          <w:color w:val="000000" w:themeColor="text1"/>
          <w:sz w:val="24"/>
          <w:szCs w:val="24"/>
        </w:rPr>
        <w:t>T</w:t>
      </w:r>
      <w:r w:rsidR="00CE0B27">
        <w:rPr>
          <w:rFonts w:ascii="Times New Roman" w:hAnsi="Times New Roman" w:cs="Times New Roman"/>
          <w:color w:val="000000" w:themeColor="text1"/>
          <w:sz w:val="24"/>
          <w:szCs w:val="24"/>
        </w:rPr>
        <w:t>he semester will</w:t>
      </w:r>
      <w:r w:rsidR="00CE0B27" w:rsidRPr="00A174C7">
        <w:rPr>
          <w:rFonts w:ascii="Times New Roman" w:hAnsi="Times New Roman" w:cs="Times New Roman"/>
          <w:color w:val="000000" w:themeColor="text1"/>
          <w:sz w:val="24"/>
          <w:szCs w:val="24"/>
        </w:rPr>
        <w:t xml:space="preserve"> </w:t>
      </w:r>
      <w:r w:rsidR="008F6311">
        <w:rPr>
          <w:rFonts w:ascii="Times New Roman" w:hAnsi="Times New Roman" w:cs="Times New Roman"/>
          <w:color w:val="000000" w:themeColor="text1"/>
          <w:sz w:val="24"/>
          <w:szCs w:val="24"/>
        </w:rPr>
        <w:t xml:space="preserve">be divided into two chunks, each of which will </w:t>
      </w:r>
      <w:r w:rsidR="00CE0B27" w:rsidRPr="00A174C7">
        <w:rPr>
          <w:rFonts w:ascii="Times New Roman" w:hAnsi="Times New Roman" w:cs="Times New Roman"/>
          <w:color w:val="000000" w:themeColor="text1"/>
          <w:sz w:val="24"/>
          <w:szCs w:val="24"/>
        </w:rPr>
        <w:t xml:space="preserve">begin with </w:t>
      </w:r>
      <w:r w:rsidR="008F6311">
        <w:rPr>
          <w:rFonts w:ascii="Times New Roman" w:hAnsi="Times New Roman" w:cs="Times New Roman"/>
          <w:color w:val="000000" w:themeColor="text1"/>
          <w:sz w:val="24"/>
          <w:szCs w:val="24"/>
        </w:rPr>
        <w:t>several</w:t>
      </w:r>
      <w:r w:rsidR="00CE0B27" w:rsidRPr="00A174C7">
        <w:rPr>
          <w:rFonts w:ascii="Times New Roman" w:hAnsi="Times New Roman" w:cs="Times New Roman"/>
          <w:color w:val="000000" w:themeColor="text1"/>
          <w:sz w:val="24"/>
          <w:szCs w:val="24"/>
        </w:rPr>
        <w:t xml:space="preserve"> weeks of instructor-led discussion, and culminate in </w:t>
      </w:r>
      <w:r w:rsidR="00CE0B27">
        <w:rPr>
          <w:rFonts w:ascii="Times New Roman" w:hAnsi="Times New Roman" w:cs="Times New Roman"/>
          <w:color w:val="000000" w:themeColor="text1"/>
          <w:sz w:val="24"/>
          <w:szCs w:val="24"/>
        </w:rPr>
        <w:t>two</w:t>
      </w:r>
      <w:r w:rsidR="00CE0B27" w:rsidRPr="00A174C7">
        <w:rPr>
          <w:rFonts w:ascii="Times New Roman" w:hAnsi="Times New Roman" w:cs="Times New Roman"/>
          <w:color w:val="000000" w:themeColor="text1"/>
          <w:sz w:val="24"/>
          <w:szCs w:val="24"/>
        </w:rPr>
        <w:t xml:space="preserve"> weeks of student-led presentations</w:t>
      </w:r>
      <w:r w:rsidR="008F6311">
        <w:rPr>
          <w:rFonts w:ascii="Times New Roman" w:hAnsi="Times New Roman" w:cs="Times New Roman"/>
          <w:color w:val="000000" w:themeColor="text1"/>
          <w:sz w:val="24"/>
          <w:szCs w:val="24"/>
        </w:rPr>
        <w:t>, w</w:t>
      </w:r>
      <w:r w:rsidR="00CE0B27" w:rsidRPr="00A174C7">
        <w:rPr>
          <w:rFonts w:ascii="Times New Roman" w:hAnsi="Times New Roman" w:cs="Times New Roman"/>
          <w:color w:val="000000" w:themeColor="text1"/>
          <w:sz w:val="24"/>
          <w:szCs w:val="24"/>
        </w:rPr>
        <w:t>hich will be structured like APA colloquia</w:t>
      </w:r>
      <w:r w:rsidR="00CE0B27">
        <w:rPr>
          <w:rFonts w:ascii="Times New Roman" w:hAnsi="Times New Roman" w:cs="Times New Roman"/>
          <w:color w:val="000000" w:themeColor="text1"/>
          <w:sz w:val="24"/>
          <w:szCs w:val="24"/>
        </w:rPr>
        <w:t xml:space="preserve">.  </w:t>
      </w:r>
      <w:r w:rsidR="0013644F">
        <w:rPr>
          <w:rFonts w:ascii="Times New Roman" w:hAnsi="Times New Roman" w:cs="Times New Roman"/>
          <w:color w:val="000000" w:themeColor="text1"/>
          <w:sz w:val="24"/>
          <w:szCs w:val="24"/>
        </w:rPr>
        <w:t>The idea here is to help prepare you for a career as a professional philosopher.  You need to learn to give talks and incorporate feedback from them., and it’s also useful to practice writing shorter, tightly argued pieces (journals are cracking down on long papers, and APA colloquia have always been quite short.)</w:t>
      </w:r>
    </w:p>
    <w:p w14:paraId="290C12B3" w14:textId="77777777" w:rsidR="00C15159" w:rsidRDefault="00C15159" w:rsidP="009027F9">
      <w:pPr>
        <w:pStyle w:val="Body"/>
        <w:tabs>
          <w:tab w:val="left" w:pos="1080"/>
        </w:tabs>
        <w:rPr>
          <w:rFonts w:ascii="Times New Roman" w:hAnsi="Times New Roman" w:cs="Times New Roman"/>
          <w:color w:val="000000" w:themeColor="text1"/>
          <w:sz w:val="24"/>
          <w:szCs w:val="24"/>
        </w:rPr>
      </w:pPr>
    </w:p>
    <w:p w14:paraId="0ACDB3BC" w14:textId="234AE1F6" w:rsidR="0013644F" w:rsidRPr="00D96E18" w:rsidRDefault="00C15159" w:rsidP="00CE0B27">
      <w:pPr>
        <w:pStyle w:val="Body"/>
        <w:tabs>
          <w:tab w:val="left" w:pos="1080"/>
        </w:tabs>
        <w:ind w:left="360"/>
        <w:rPr>
          <w:rFonts w:ascii="Times New Roman" w:hAnsi="Times New Roman" w:cs="Times New Roman"/>
          <w:color w:val="000000" w:themeColor="text1"/>
          <w:sz w:val="24"/>
          <w:szCs w:val="24"/>
        </w:rPr>
      </w:pPr>
      <w:r w:rsidRPr="00D96E18">
        <w:rPr>
          <w:rFonts w:ascii="Times New Roman" w:hAnsi="Times New Roman" w:cs="Times New Roman"/>
          <w:color w:val="000000" w:themeColor="text1"/>
          <w:sz w:val="24"/>
          <w:szCs w:val="24"/>
          <w:u w:val="single"/>
        </w:rPr>
        <w:t>Grad students</w:t>
      </w:r>
      <w:r w:rsidR="009027F9" w:rsidRPr="00D96E18">
        <w:rPr>
          <w:rFonts w:ascii="Times New Roman" w:hAnsi="Times New Roman" w:cs="Times New Roman"/>
          <w:color w:val="000000" w:themeColor="text1"/>
          <w:sz w:val="24"/>
          <w:szCs w:val="24"/>
          <w:u w:val="single"/>
        </w:rPr>
        <w:t xml:space="preserve"> taking for r</w:t>
      </w:r>
      <w:r w:rsidR="0077142D" w:rsidRPr="00D96E18">
        <w:rPr>
          <w:rFonts w:ascii="Times New Roman" w:hAnsi="Times New Roman" w:cs="Times New Roman"/>
          <w:color w:val="000000" w:themeColor="text1"/>
          <w:sz w:val="24"/>
          <w:szCs w:val="24"/>
          <w:u w:val="single"/>
        </w:rPr>
        <w:t>esearch credit</w:t>
      </w:r>
      <w:r w:rsidR="0077142D" w:rsidRPr="00D96E18">
        <w:rPr>
          <w:rFonts w:ascii="Times New Roman" w:hAnsi="Times New Roman" w:cs="Times New Roman"/>
          <w:color w:val="000000" w:themeColor="text1"/>
          <w:sz w:val="24"/>
          <w:szCs w:val="24"/>
        </w:rPr>
        <w:t xml:space="preserve">:  </w:t>
      </w:r>
      <w:r w:rsidR="00B71CAE" w:rsidRPr="00D96E18">
        <w:rPr>
          <w:rFonts w:ascii="Times New Roman" w:hAnsi="Times New Roman" w:cs="Times New Roman"/>
          <w:color w:val="000000" w:themeColor="text1"/>
          <w:sz w:val="24"/>
          <w:szCs w:val="24"/>
        </w:rPr>
        <w:t xml:space="preserve">You will give two </w:t>
      </w:r>
      <w:proofErr w:type="gramStart"/>
      <w:r w:rsidR="00CE0B27">
        <w:rPr>
          <w:rFonts w:ascii="Times New Roman" w:hAnsi="Times New Roman" w:cs="Times New Roman"/>
          <w:color w:val="000000" w:themeColor="text1"/>
          <w:sz w:val="24"/>
          <w:szCs w:val="24"/>
        </w:rPr>
        <w:t>20 minute</w:t>
      </w:r>
      <w:proofErr w:type="gramEnd"/>
      <w:r w:rsidR="00CE0B27">
        <w:rPr>
          <w:rFonts w:ascii="Times New Roman" w:hAnsi="Times New Roman" w:cs="Times New Roman"/>
          <w:color w:val="000000" w:themeColor="text1"/>
          <w:sz w:val="24"/>
          <w:szCs w:val="24"/>
        </w:rPr>
        <w:t xml:space="preserve"> </w:t>
      </w:r>
      <w:r w:rsidR="00B71CAE" w:rsidRPr="00D96E18">
        <w:rPr>
          <w:rFonts w:ascii="Times New Roman" w:hAnsi="Times New Roman" w:cs="Times New Roman"/>
          <w:color w:val="000000" w:themeColor="text1"/>
          <w:sz w:val="24"/>
          <w:szCs w:val="24"/>
        </w:rPr>
        <w:t>presentations</w:t>
      </w:r>
      <w:r w:rsidR="00CE0B27">
        <w:rPr>
          <w:rFonts w:ascii="Times New Roman" w:hAnsi="Times New Roman" w:cs="Times New Roman"/>
          <w:color w:val="000000" w:themeColor="text1"/>
          <w:sz w:val="24"/>
          <w:szCs w:val="24"/>
        </w:rPr>
        <w:t xml:space="preserve"> followed by 30 minutes of Q&amp;A.  Each of these presentations will then be polished into a </w:t>
      </w:r>
      <w:proofErr w:type="gramStart"/>
      <w:r w:rsidR="00CE0B27">
        <w:rPr>
          <w:rFonts w:ascii="Times New Roman" w:hAnsi="Times New Roman" w:cs="Times New Roman"/>
          <w:color w:val="000000" w:themeColor="text1"/>
          <w:sz w:val="24"/>
          <w:szCs w:val="24"/>
        </w:rPr>
        <w:t>3000 word</w:t>
      </w:r>
      <w:proofErr w:type="gramEnd"/>
      <w:r w:rsidR="00CE0B27">
        <w:rPr>
          <w:rFonts w:ascii="Times New Roman" w:hAnsi="Times New Roman" w:cs="Times New Roman"/>
          <w:color w:val="000000" w:themeColor="text1"/>
          <w:sz w:val="24"/>
          <w:szCs w:val="24"/>
        </w:rPr>
        <w:t xml:space="preserve"> paper, taking into account the feedback from the Q&amp;A.  </w:t>
      </w:r>
      <w:r w:rsidR="00B71CAE" w:rsidRPr="00D96E18">
        <w:rPr>
          <w:rFonts w:ascii="Times New Roman" w:hAnsi="Times New Roman" w:cs="Times New Roman"/>
          <w:color w:val="000000" w:themeColor="text1"/>
          <w:sz w:val="24"/>
          <w:szCs w:val="24"/>
        </w:rPr>
        <w:t xml:space="preserve">At the end of term, you will revise one of the short papers into a </w:t>
      </w:r>
      <w:proofErr w:type="gramStart"/>
      <w:r w:rsidR="00E4794A" w:rsidRPr="00D96E18">
        <w:rPr>
          <w:rFonts w:ascii="Times New Roman" w:hAnsi="Times New Roman" w:cs="Times New Roman"/>
          <w:color w:val="000000" w:themeColor="text1"/>
          <w:sz w:val="24"/>
          <w:szCs w:val="24"/>
        </w:rPr>
        <w:t>5000 word</w:t>
      </w:r>
      <w:proofErr w:type="gramEnd"/>
      <w:r w:rsidR="00B71CAE" w:rsidRPr="00D96E18">
        <w:rPr>
          <w:rFonts w:ascii="Times New Roman" w:hAnsi="Times New Roman" w:cs="Times New Roman"/>
          <w:color w:val="000000" w:themeColor="text1"/>
          <w:sz w:val="24"/>
          <w:szCs w:val="24"/>
        </w:rPr>
        <w:t xml:space="preserve"> paper.  </w:t>
      </w:r>
      <w:r w:rsidR="0013644F" w:rsidRPr="00D96E18">
        <w:rPr>
          <w:rFonts w:ascii="Times New Roman" w:hAnsi="Times New Roman" w:cs="Times New Roman"/>
          <w:color w:val="000000" w:themeColor="text1"/>
          <w:sz w:val="24"/>
          <w:szCs w:val="24"/>
        </w:rPr>
        <w:t xml:space="preserve">Each </w:t>
      </w:r>
      <w:r w:rsidR="00CE0B27">
        <w:rPr>
          <w:rFonts w:ascii="Times New Roman" w:hAnsi="Times New Roman" w:cs="Times New Roman"/>
          <w:color w:val="000000" w:themeColor="text1"/>
          <w:sz w:val="24"/>
          <w:szCs w:val="24"/>
        </w:rPr>
        <w:t>short</w:t>
      </w:r>
      <w:r w:rsidR="0013644F" w:rsidRPr="00D96E18">
        <w:rPr>
          <w:rFonts w:ascii="Times New Roman" w:hAnsi="Times New Roman" w:cs="Times New Roman"/>
          <w:color w:val="000000" w:themeColor="text1"/>
          <w:sz w:val="24"/>
          <w:szCs w:val="24"/>
        </w:rPr>
        <w:t xml:space="preserve"> paper </w:t>
      </w:r>
      <w:r w:rsidR="00CE0B27">
        <w:rPr>
          <w:rFonts w:ascii="Times New Roman" w:hAnsi="Times New Roman" w:cs="Times New Roman"/>
          <w:color w:val="000000" w:themeColor="text1"/>
          <w:sz w:val="24"/>
          <w:szCs w:val="24"/>
        </w:rPr>
        <w:t xml:space="preserve">and presentation </w:t>
      </w:r>
      <w:r w:rsidR="0013644F" w:rsidRPr="00D96E18">
        <w:rPr>
          <w:rFonts w:ascii="Times New Roman" w:hAnsi="Times New Roman" w:cs="Times New Roman"/>
          <w:color w:val="000000" w:themeColor="text1"/>
          <w:sz w:val="24"/>
          <w:szCs w:val="24"/>
        </w:rPr>
        <w:t xml:space="preserve">will be worth 15% of your grade, for a total of 60%. </w:t>
      </w:r>
      <w:r w:rsidR="00CE0B27">
        <w:rPr>
          <w:rFonts w:ascii="Times New Roman" w:hAnsi="Times New Roman" w:cs="Times New Roman"/>
          <w:color w:val="000000" w:themeColor="text1"/>
          <w:sz w:val="24"/>
          <w:szCs w:val="24"/>
        </w:rPr>
        <w:t xml:space="preserve"> </w:t>
      </w:r>
      <w:r w:rsidR="0013644F" w:rsidRPr="00D96E18">
        <w:rPr>
          <w:rFonts w:ascii="Times New Roman" w:hAnsi="Times New Roman" w:cs="Times New Roman"/>
          <w:color w:val="000000" w:themeColor="text1"/>
          <w:sz w:val="24"/>
          <w:szCs w:val="24"/>
        </w:rPr>
        <w:t xml:space="preserve">Your </w:t>
      </w:r>
      <w:r w:rsidR="00CE0B27">
        <w:rPr>
          <w:rFonts w:ascii="Times New Roman" w:hAnsi="Times New Roman" w:cs="Times New Roman"/>
          <w:color w:val="000000" w:themeColor="text1"/>
          <w:sz w:val="24"/>
          <w:szCs w:val="24"/>
        </w:rPr>
        <w:t xml:space="preserve">longer </w:t>
      </w:r>
      <w:r w:rsidR="0013644F" w:rsidRPr="00D96E18">
        <w:rPr>
          <w:rFonts w:ascii="Times New Roman" w:hAnsi="Times New Roman" w:cs="Times New Roman"/>
          <w:color w:val="000000" w:themeColor="text1"/>
          <w:sz w:val="24"/>
          <w:szCs w:val="24"/>
        </w:rPr>
        <w:t xml:space="preserve">paper will be worth the remaining 40% of your grade.  </w:t>
      </w:r>
    </w:p>
    <w:p w14:paraId="79F968D4" w14:textId="7037941C" w:rsidR="0013644F" w:rsidRDefault="0013644F" w:rsidP="009027F9">
      <w:pPr>
        <w:pStyle w:val="Body"/>
        <w:tabs>
          <w:tab w:val="left" w:pos="1080"/>
        </w:tabs>
        <w:ind w:left="360"/>
        <w:rPr>
          <w:rFonts w:ascii="Times New Roman" w:hAnsi="Times New Roman" w:cs="Times New Roman"/>
          <w:color w:val="000000" w:themeColor="text1"/>
          <w:sz w:val="24"/>
          <w:szCs w:val="24"/>
        </w:rPr>
      </w:pPr>
    </w:p>
    <w:p w14:paraId="2A8C5B1D" w14:textId="00EFEA1D" w:rsidR="009027F9" w:rsidRDefault="00C15159" w:rsidP="009027F9">
      <w:pPr>
        <w:pStyle w:val="Body"/>
        <w:tabs>
          <w:tab w:val="left" w:pos="1080"/>
        </w:tabs>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Grad students</w:t>
      </w:r>
      <w:r w:rsidR="009027F9">
        <w:rPr>
          <w:rFonts w:ascii="Times New Roman" w:hAnsi="Times New Roman" w:cs="Times New Roman"/>
          <w:color w:val="000000" w:themeColor="text1"/>
          <w:sz w:val="24"/>
          <w:szCs w:val="24"/>
          <w:u w:val="single"/>
        </w:rPr>
        <w:t xml:space="preserve"> taking for n</w:t>
      </w:r>
      <w:r w:rsidR="009027F9" w:rsidRPr="00B71CAE">
        <w:rPr>
          <w:rFonts w:ascii="Times New Roman" w:hAnsi="Times New Roman" w:cs="Times New Roman"/>
          <w:color w:val="000000" w:themeColor="text1"/>
          <w:sz w:val="24"/>
          <w:szCs w:val="24"/>
          <w:u w:val="single"/>
        </w:rPr>
        <w:t>on-research credit:</w:t>
      </w:r>
      <w:r w:rsidR="009027F9">
        <w:rPr>
          <w:rFonts w:ascii="Times New Roman" w:hAnsi="Times New Roman" w:cs="Times New Roman"/>
          <w:color w:val="000000" w:themeColor="text1"/>
          <w:sz w:val="24"/>
          <w:szCs w:val="24"/>
        </w:rPr>
        <w:t xml:space="preserve"> you are expected to do the readings and fully participate in the course, but will only do one of the two presentations &amp; short papers</w:t>
      </w:r>
      <w:r w:rsidR="003704D5">
        <w:rPr>
          <w:rFonts w:ascii="Times New Roman" w:hAnsi="Times New Roman" w:cs="Times New Roman"/>
          <w:color w:val="000000" w:themeColor="text1"/>
          <w:sz w:val="24"/>
          <w:szCs w:val="24"/>
        </w:rPr>
        <w:t xml:space="preserve">.  By the end of term, you will </w:t>
      </w:r>
      <w:r w:rsidR="009027F9">
        <w:rPr>
          <w:rFonts w:ascii="Times New Roman" w:hAnsi="Times New Roman" w:cs="Times New Roman"/>
          <w:color w:val="000000" w:themeColor="text1"/>
          <w:sz w:val="24"/>
          <w:szCs w:val="24"/>
        </w:rPr>
        <w:t xml:space="preserve">revise </w:t>
      </w:r>
      <w:r w:rsidR="003704D5">
        <w:rPr>
          <w:rFonts w:ascii="Times New Roman" w:hAnsi="Times New Roman" w:cs="Times New Roman"/>
          <w:color w:val="000000" w:themeColor="text1"/>
          <w:sz w:val="24"/>
          <w:szCs w:val="24"/>
        </w:rPr>
        <w:t>the</w:t>
      </w:r>
      <w:r w:rsidR="009027F9">
        <w:rPr>
          <w:rFonts w:ascii="Times New Roman" w:hAnsi="Times New Roman" w:cs="Times New Roman"/>
          <w:color w:val="000000" w:themeColor="text1"/>
          <w:sz w:val="24"/>
          <w:szCs w:val="24"/>
        </w:rPr>
        <w:t xml:space="preserve"> short paper </w:t>
      </w:r>
      <w:r w:rsidR="003704D5">
        <w:rPr>
          <w:rFonts w:ascii="Times New Roman" w:hAnsi="Times New Roman" w:cs="Times New Roman"/>
          <w:color w:val="000000" w:themeColor="text1"/>
          <w:sz w:val="24"/>
          <w:szCs w:val="24"/>
        </w:rPr>
        <w:t xml:space="preserve">in light of the feedback you receive; </w:t>
      </w:r>
      <w:r w:rsidR="00E565DE">
        <w:rPr>
          <w:rFonts w:ascii="Times New Roman" w:hAnsi="Times New Roman" w:cs="Times New Roman"/>
          <w:color w:val="000000" w:themeColor="text1"/>
          <w:sz w:val="24"/>
          <w:szCs w:val="24"/>
        </w:rPr>
        <w:t xml:space="preserve">this revision can but </w:t>
      </w:r>
      <w:r w:rsidR="003704D5">
        <w:rPr>
          <w:rFonts w:ascii="Times New Roman" w:hAnsi="Times New Roman" w:cs="Times New Roman"/>
          <w:color w:val="000000" w:themeColor="text1"/>
          <w:sz w:val="24"/>
          <w:szCs w:val="24"/>
        </w:rPr>
        <w:t xml:space="preserve">need not </w:t>
      </w:r>
      <w:r w:rsidR="00E565DE">
        <w:rPr>
          <w:rFonts w:ascii="Times New Roman" w:hAnsi="Times New Roman" w:cs="Times New Roman"/>
          <w:color w:val="000000" w:themeColor="text1"/>
          <w:sz w:val="24"/>
          <w:szCs w:val="24"/>
        </w:rPr>
        <w:t xml:space="preserve">involve </w:t>
      </w:r>
      <w:r w:rsidR="003704D5">
        <w:rPr>
          <w:rFonts w:ascii="Times New Roman" w:hAnsi="Times New Roman" w:cs="Times New Roman"/>
          <w:color w:val="000000" w:themeColor="text1"/>
          <w:sz w:val="24"/>
          <w:szCs w:val="24"/>
        </w:rPr>
        <w:t>expand</w:t>
      </w:r>
      <w:r w:rsidR="00E565DE">
        <w:rPr>
          <w:rFonts w:ascii="Times New Roman" w:hAnsi="Times New Roman" w:cs="Times New Roman"/>
          <w:color w:val="000000" w:themeColor="text1"/>
          <w:sz w:val="24"/>
          <w:szCs w:val="24"/>
        </w:rPr>
        <w:t>ing</w:t>
      </w:r>
      <w:r w:rsidR="003704D5">
        <w:rPr>
          <w:rFonts w:ascii="Times New Roman" w:hAnsi="Times New Roman" w:cs="Times New Roman"/>
          <w:color w:val="000000" w:themeColor="text1"/>
          <w:sz w:val="24"/>
          <w:szCs w:val="24"/>
        </w:rPr>
        <w:t xml:space="preserve"> it into a longer paper.  </w:t>
      </w:r>
      <w:r w:rsidR="00D96E18">
        <w:rPr>
          <w:rFonts w:ascii="Times New Roman" w:hAnsi="Times New Roman" w:cs="Times New Roman"/>
          <w:color w:val="000000" w:themeColor="text1"/>
          <w:sz w:val="24"/>
          <w:szCs w:val="24"/>
        </w:rPr>
        <w:t>Your presentation will be worth 25%, the short paper worth 35%, and the revision worth 40%.</w:t>
      </w:r>
    </w:p>
    <w:p w14:paraId="7042D8EE" w14:textId="77777777" w:rsidR="009027F9" w:rsidRDefault="009027F9" w:rsidP="009027F9">
      <w:pPr>
        <w:pStyle w:val="Default"/>
        <w:tabs>
          <w:tab w:val="left" w:pos="1080"/>
        </w:tabs>
        <w:spacing w:before="0"/>
        <w:rPr>
          <w:rFonts w:ascii="Times New Roman" w:hAnsi="Times New Roman" w:cs="Times New Roman"/>
          <w:color w:val="000000" w:themeColor="text1"/>
        </w:rPr>
      </w:pPr>
    </w:p>
    <w:p w14:paraId="4F891ACC" w14:textId="29AAF63F" w:rsidR="009027F9" w:rsidRPr="00D96E18" w:rsidRDefault="009027F9" w:rsidP="009027F9">
      <w:pPr>
        <w:pStyle w:val="Default"/>
        <w:tabs>
          <w:tab w:val="left" w:pos="1080"/>
        </w:tabs>
        <w:spacing w:before="0"/>
        <w:ind w:left="360"/>
        <w:rPr>
          <w:rFonts w:ascii="Times New Roman" w:hAnsi="Times New Roman" w:cs="Times New Roman"/>
          <w:color w:val="000000" w:themeColor="text1"/>
        </w:rPr>
      </w:pPr>
      <w:r w:rsidRPr="009027F9">
        <w:rPr>
          <w:rFonts w:ascii="Times New Roman" w:hAnsi="Times New Roman" w:cs="Times New Roman"/>
          <w:color w:val="000000" w:themeColor="text1"/>
          <w:u w:val="single"/>
        </w:rPr>
        <w:t>Undergraduates</w:t>
      </w:r>
      <w:r w:rsidRPr="00C15159">
        <w:rPr>
          <w:rFonts w:ascii="Times New Roman" w:hAnsi="Times New Roman" w:cs="Times New Roman"/>
          <w:color w:val="000000" w:themeColor="text1"/>
        </w:rPr>
        <w:t xml:space="preserve">:  </w:t>
      </w:r>
      <w:r w:rsidR="00C15159" w:rsidRPr="00C15159">
        <w:rPr>
          <w:rFonts w:ascii="Times New Roman" w:hAnsi="Times New Roman" w:cs="Times New Roman"/>
          <w:color w:val="000000" w:themeColor="text1"/>
        </w:rPr>
        <w:t xml:space="preserve">you will </w:t>
      </w:r>
      <w:r w:rsidR="00D96E18">
        <w:rPr>
          <w:rFonts w:ascii="Times New Roman" w:hAnsi="Times New Roman" w:cs="Times New Roman"/>
          <w:color w:val="000000" w:themeColor="text1"/>
        </w:rPr>
        <w:t xml:space="preserve">do one </w:t>
      </w:r>
      <w:proofErr w:type="gramStart"/>
      <w:r w:rsidR="003704D5">
        <w:rPr>
          <w:rFonts w:ascii="Times New Roman" w:hAnsi="Times New Roman" w:cs="Times New Roman"/>
          <w:color w:val="000000" w:themeColor="text1"/>
        </w:rPr>
        <w:t>20 minute</w:t>
      </w:r>
      <w:proofErr w:type="gramEnd"/>
      <w:r w:rsidR="003704D5">
        <w:rPr>
          <w:rFonts w:ascii="Times New Roman" w:hAnsi="Times New Roman" w:cs="Times New Roman"/>
          <w:color w:val="000000" w:themeColor="text1"/>
        </w:rPr>
        <w:t xml:space="preserve"> </w:t>
      </w:r>
      <w:r w:rsidR="00D96E18">
        <w:rPr>
          <w:rFonts w:ascii="Times New Roman" w:hAnsi="Times New Roman" w:cs="Times New Roman"/>
          <w:color w:val="000000" w:themeColor="text1"/>
        </w:rPr>
        <w:t xml:space="preserve">presentation, </w:t>
      </w:r>
      <w:r w:rsidR="00C15159" w:rsidRPr="00C15159">
        <w:rPr>
          <w:rFonts w:ascii="Times New Roman" w:hAnsi="Times New Roman" w:cs="Times New Roman"/>
          <w:color w:val="000000" w:themeColor="text1"/>
        </w:rPr>
        <w:t xml:space="preserve">write </w:t>
      </w:r>
      <w:r w:rsidR="00C15159" w:rsidRPr="00D96E18">
        <w:rPr>
          <w:rFonts w:ascii="Times New Roman" w:hAnsi="Times New Roman" w:cs="Times New Roman"/>
          <w:color w:val="000000" w:themeColor="text1"/>
        </w:rPr>
        <w:t xml:space="preserve">two </w:t>
      </w:r>
      <w:r w:rsidR="00D96E18" w:rsidRPr="00D96E18">
        <w:rPr>
          <w:rFonts w:ascii="Times New Roman" w:hAnsi="Times New Roman" w:cs="Times New Roman"/>
          <w:color w:val="000000" w:themeColor="text1"/>
        </w:rPr>
        <w:t>300</w:t>
      </w:r>
      <w:r w:rsidR="00D96E18">
        <w:rPr>
          <w:rFonts w:ascii="Times New Roman" w:hAnsi="Times New Roman" w:cs="Times New Roman"/>
          <w:color w:val="000000" w:themeColor="text1"/>
        </w:rPr>
        <w:t>0 word papers, and revise the second paper.  The default will be that you will do a presentation in the second round rather than the first, but t</w:t>
      </w:r>
      <w:r w:rsidR="00A053D6">
        <w:rPr>
          <w:rFonts w:ascii="Times New Roman" w:hAnsi="Times New Roman" w:cs="Times New Roman"/>
          <w:color w:val="000000" w:themeColor="text1"/>
        </w:rPr>
        <w:t>alk to us if you’d rather do one in the first round.</w:t>
      </w:r>
    </w:p>
    <w:p w14:paraId="0EF2FEE2" w14:textId="77777777" w:rsidR="009027F9" w:rsidRDefault="009027F9" w:rsidP="009027F9">
      <w:pPr>
        <w:pStyle w:val="Body"/>
        <w:tabs>
          <w:tab w:val="left" w:pos="1080"/>
        </w:tabs>
        <w:ind w:left="360"/>
        <w:rPr>
          <w:rFonts w:ascii="Times New Roman" w:hAnsi="Times New Roman" w:cs="Times New Roman"/>
          <w:color w:val="000000" w:themeColor="text1"/>
          <w:sz w:val="24"/>
          <w:szCs w:val="24"/>
        </w:rPr>
      </w:pPr>
    </w:p>
    <w:p w14:paraId="3F91CA2F" w14:textId="2526AFAC" w:rsidR="00A171D8" w:rsidRDefault="00A174C7" w:rsidP="00A171D8">
      <w:pPr>
        <w:pStyle w:val="Default"/>
        <w:tabs>
          <w:tab w:val="left" w:pos="1080"/>
        </w:tabs>
        <w:spacing w:before="0"/>
        <w:rPr>
          <w:rFonts w:ascii="Times New Roman" w:hAnsi="Times New Roman" w:cs="Times New Roman"/>
          <w:color w:val="000000" w:themeColor="text1"/>
        </w:rPr>
      </w:pPr>
      <w:r w:rsidRPr="00A174C7">
        <w:rPr>
          <w:rFonts w:ascii="Times New Roman" w:hAnsi="Times New Roman" w:cs="Times New Roman"/>
          <w:b/>
          <w:bCs/>
          <w:color w:val="000000" w:themeColor="text1"/>
        </w:rPr>
        <w:t>Due dates</w:t>
      </w:r>
      <w:r w:rsidRPr="00A174C7">
        <w:rPr>
          <w:rFonts w:ascii="Times New Roman" w:hAnsi="Times New Roman" w:cs="Times New Roman"/>
          <w:color w:val="000000" w:themeColor="text1"/>
        </w:rPr>
        <w:t xml:space="preserve">: The first of the two </w:t>
      </w:r>
      <w:proofErr w:type="gramStart"/>
      <w:r w:rsidRPr="00A174C7">
        <w:rPr>
          <w:rFonts w:ascii="Times New Roman" w:hAnsi="Times New Roman" w:cs="Times New Roman"/>
          <w:color w:val="000000" w:themeColor="text1"/>
        </w:rPr>
        <w:t>3,000 word</w:t>
      </w:r>
      <w:proofErr w:type="gramEnd"/>
      <w:r w:rsidRPr="00A174C7">
        <w:rPr>
          <w:rFonts w:ascii="Times New Roman" w:hAnsi="Times New Roman" w:cs="Times New Roman"/>
          <w:color w:val="000000" w:themeColor="text1"/>
        </w:rPr>
        <w:t xml:space="preserve"> papers is due </w:t>
      </w:r>
      <w:r w:rsidR="00FA054D">
        <w:rPr>
          <w:rFonts w:ascii="Times New Roman" w:hAnsi="Times New Roman" w:cs="Times New Roman"/>
          <w:color w:val="000000" w:themeColor="text1"/>
        </w:rPr>
        <w:t>10/25</w:t>
      </w:r>
      <w:r w:rsidRPr="00A174C7">
        <w:rPr>
          <w:rFonts w:ascii="Times New Roman" w:hAnsi="Times New Roman" w:cs="Times New Roman"/>
          <w:color w:val="000000" w:themeColor="text1"/>
        </w:rPr>
        <w:t xml:space="preserve">. </w:t>
      </w:r>
      <w:r w:rsidR="00FA054D">
        <w:rPr>
          <w:rFonts w:ascii="Times New Roman" w:hAnsi="Times New Roman" w:cs="Times New Roman"/>
          <w:color w:val="000000" w:themeColor="text1"/>
        </w:rPr>
        <w:t xml:space="preserve"> </w:t>
      </w:r>
      <w:r w:rsidRPr="00A174C7">
        <w:rPr>
          <w:rFonts w:ascii="Times New Roman" w:hAnsi="Times New Roman" w:cs="Times New Roman"/>
          <w:color w:val="000000" w:themeColor="text1"/>
        </w:rPr>
        <w:t xml:space="preserve">The second </w:t>
      </w:r>
      <w:proofErr w:type="gramStart"/>
      <w:r w:rsidRPr="00A174C7">
        <w:rPr>
          <w:rFonts w:ascii="Times New Roman" w:hAnsi="Times New Roman" w:cs="Times New Roman"/>
          <w:color w:val="000000" w:themeColor="text1"/>
        </w:rPr>
        <w:t>3,000 word</w:t>
      </w:r>
      <w:proofErr w:type="gramEnd"/>
      <w:r w:rsidRPr="00A174C7">
        <w:rPr>
          <w:rFonts w:ascii="Times New Roman" w:hAnsi="Times New Roman" w:cs="Times New Roman"/>
          <w:color w:val="000000" w:themeColor="text1"/>
        </w:rPr>
        <w:t xml:space="preserve"> paper is due </w:t>
      </w:r>
      <w:r w:rsidR="00FA054D">
        <w:rPr>
          <w:rFonts w:ascii="Times New Roman" w:hAnsi="Times New Roman" w:cs="Times New Roman"/>
          <w:color w:val="000000" w:themeColor="text1"/>
        </w:rPr>
        <w:t>12/16</w:t>
      </w:r>
      <w:r w:rsidRPr="00A174C7">
        <w:rPr>
          <w:rFonts w:ascii="Times New Roman" w:hAnsi="Times New Roman" w:cs="Times New Roman"/>
          <w:color w:val="000000" w:themeColor="text1"/>
        </w:rPr>
        <w:t xml:space="preserve">. </w:t>
      </w:r>
      <w:r w:rsidR="00835E6C">
        <w:rPr>
          <w:rFonts w:ascii="Times New Roman" w:hAnsi="Times New Roman" w:cs="Times New Roman"/>
          <w:color w:val="000000" w:themeColor="text1"/>
        </w:rPr>
        <w:t xml:space="preserve"> </w:t>
      </w:r>
      <w:r w:rsidRPr="00A174C7">
        <w:rPr>
          <w:rFonts w:ascii="Times New Roman" w:hAnsi="Times New Roman" w:cs="Times New Roman"/>
          <w:color w:val="000000" w:themeColor="text1"/>
        </w:rPr>
        <w:t xml:space="preserve">The final </w:t>
      </w:r>
      <w:proofErr w:type="gramStart"/>
      <w:r w:rsidRPr="00A174C7">
        <w:rPr>
          <w:rFonts w:ascii="Times New Roman" w:hAnsi="Times New Roman" w:cs="Times New Roman"/>
          <w:color w:val="000000" w:themeColor="text1"/>
        </w:rPr>
        <w:t>5,000 word</w:t>
      </w:r>
      <w:proofErr w:type="gramEnd"/>
      <w:r w:rsidRPr="00A174C7">
        <w:rPr>
          <w:rFonts w:ascii="Times New Roman" w:hAnsi="Times New Roman" w:cs="Times New Roman"/>
          <w:color w:val="000000" w:themeColor="text1"/>
        </w:rPr>
        <w:t xml:space="preserve"> paper is due </w:t>
      </w:r>
      <w:r w:rsidR="00835E6C">
        <w:rPr>
          <w:rFonts w:ascii="Times New Roman" w:hAnsi="Times New Roman" w:cs="Times New Roman"/>
          <w:color w:val="000000" w:themeColor="text1"/>
        </w:rPr>
        <w:t>January 15</w:t>
      </w:r>
      <w:r w:rsidRPr="00A174C7">
        <w:rPr>
          <w:rFonts w:ascii="Times New Roman" w:hAnsi="Times New Roman" w:cs="Times New Roman"/>
          <w:color w:val="000000" w:themeColor="text1"/>
        </w:rPr>
        <w:t>.</w:t>
      </w:r>
      <w:r w:rsidR="000F3C5D">
        <w:rPr>
          <w:rFonts w:ascii="Times New Roman" w:hAnsi="Times New Roman" w:cs="Times New Roman"/>
          <w:color w:val="000000" w:themeColor="text1"/>
        </w:rPr>
        <w:t xml:space="preserve">  Please be in touch with us if you need adjustments to these deadlines. </w:t>
      </w:r>
      <w:r w:rsidR="00A171D8">
        <w:rPr>
          <w:rFonts w:ascii="Times New Roman" w:hAnsi="Times New Roman" w:cs="Times New Roman"/>
          <w:color w:val="000000" w:themeColor="text1"/>
        </w:rPr>
        <w:br w:type="page"/>
      </w:r>
    </w:p>
    <w:p w14:paraId="452CC149" w14:textId="7D47D07B" w:rsidR="00A174C7" w:rsidRDefault="00A174C7" w:rsidP="009027F9">
      <w:pPr>
        <w:pStyle w:val="Body"/>
        <w:tabs>
          <w:tab w:val="left" w:pos="1080"/>
        </w:tabs>
        <w:rPr>
          <w:rFonts w:ascii="Times New Roman" w:hAnsi="Times New Roman" w:cs="Times New Roman"/>
          <w:color w:val="000000" w:themeColor="text1"/>
          <w:sz w:val="24"/>
          <w:szCs w:val="24"/>
        </w:rPr>
      </w:pPr>
      <w:r w:rsidRPr="00A171D8">
        <w:rPr>
          <w:rFonts w:ascii="Times New Roman" w:hAnsi="Times New Roman" w:cs="Times New Roman"/>
          <w:color w:val="000000" w:themeColor="text1"/>
          <w:sz w:val="24"/>
          <w:szCs w:val="24"/>
        </w:rPr>
        <w:lastRenderedPageBreak/>
        <w:t>Readings</w:t>
      </w:r>
      <w:r w:rsidRPr="00A174C7">
        <w:rPr>
          <w:rFonts w:ascii="Times New Roman" w:hAnsi="Times New Roman" w:cs="Times New Roman"/>
          <w:color w:val="000000" w:themeColor="text1"/>
          <w:sz w:val="24"/>
          <w:szCs w:val="24"/>
        </w:rPr>
        <w:t xml:space="preserve"> will </w:t>
      </w:r>
      <w:r w:rsidR="000F3C5D">
        <w:rPr>
          <w:rFonts w:ascii="Times New Roman" w:hAnsi="Times New Roman" w:cs="Times New Roman"/>
          <w:color w:val="000000" w:themeColor="text1"/>
          <w:sz w:val="24"/>
          <w:szCs w:val="24"/>
        </w:rPr>
        <w:t>be</w:t>
      </w:r>
      <w:r w:rsidRPr="00A174C7">
        <w:rPr>
          <w:rFonts w:ascii="Times New Roman" w:hAnsi="Times New Roman" w:cs="Times New Roman"/>
          <w:color w:val="000000" w:themeColor="text1"/>
          <w:sz w:val="24"/>
          <w:szCs w:val="24"/>
        </w:rPr>
        <w:t xml:space="preserve"> made available on the Canvas page for the course. </w:t>
      </w:r>
      <w:r w:rsidR="00A171D8">
        <w:rPr>
          <w:rFonts w:ascii="Times New Roman" w:hAnsi="Times New Roman" w:cs="Times New Roman"/>
          <w:color w:val="000000" w:themeColor="text1"/>
          <w:sz w:val="24"/>
          <w:szCs w:val="24"/>
        </w:rPr>
        <w:t xml:space="preserve"> If you are interested in purchasing books, here are some suggestions:</w:t>
      </w:r>
    </w:p>
    <w:p w14:paraId="70EBDB59" w14:textId="427B59F3" w:rsidR="00A171D8" w:rsidRPr="00A174C7" w:rsidRDefault="00A171D8" w:rsidP="00A171D8">
      <w:pPr>
        <w:pStyle w:val="Body"/>
        <w:tabs>
          <w:tab w:val="left" w:pos="1080"/>
        </w:tabs>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Collins, Hall, and Paul, </w:t>
      </w:r>
      <w:r w:rsidRPr="00A171D8">
        <w:rPr>
          <w:rFonts w:ascii="Times New Roman" w:hAnsi="Times New Roman" w:cs="Times New Roman"/>
          <w:i/>
          <w:iCs/>
          <w:color w:val="000000" w:themeColor="text1"/>
          <w:sz w:val="24"/>
          <w:szCs w:val="24"/>
        </w:rPr>
        <w:t>Causation and Counterfactuals</w:t>
      </w:r>
    </w:p>
    <w:p w14:paraId="14C7B726" w14:textId="7555344F" w:rsidR="00A171D8" w:rsidRPr="00A171D8" w:rsidRDefault="00A171D8" w:rsidP="00A171D8">
      <w:pPr>
        <w:pStyle w:val="Body"/>
        <w:tabs>
          <w:tab w:val="left" w:pos="1080"/>
        </w:tabs>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Fenton-Glynn, </w:t>
      </w:r>
      <w:r>
        <w:rPr>
          <w:rFonts w:ascii="Times New Roman" w:hAnsi="Times New Roman" w:cs="Times New Roman"/>
          <w:i/>
          <w:iCs/>
          <w:color w:val="000000" w:themeColor="text1"/>
          <w:sz w:val="24"/>
          <w:szCs w:val="24"/>
        </w:rPr>
        <w:t>Causation</w:t>
      </w:r>
    </w:p>
    <w:p w14:paraId="59B64ED8" w14:textId="60C4C3E4" w:rsidR="00A171D8" w:rsidRDefault="00A171D8" w:rsidP="00A171D8">
      <w:pPr>
        <w:pStyle w:val="Body"/>
        <w:tabs>
          <w:tab w:val="left" w:pos="1080"/>
        </w:tabs>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Lewis, </w:t>
      </w:r>
      <w:r>
        <w:rPr>
          <w:rFonts w:ascii="Times New Roman" w:hAnsi="Times New Roman" w:cs="Times New Roman"/>
          <w:i/>
          <w:iCs/>
          <w:color w:val="000000" w:themeColor="text1"/>
          <w:sz w:val="24"/>
          <w:szCs w:val="24"/>
        </w:rPr>
        <w:t>Philosophical Papers Volume 2</w:t>
      </w:r>
      <w:r>
        <w:rPr>
          <w:rFonts w:ascii="Times New Roman" w:hAnsi="Times New Roman" w:cs="Times New Roman"/>
          <w:color w:val="000000" w:themeColor="text1"/>
          <w:sz w:val="24"/>
          <w:szCs w:val="24"/>
        </w:rPr>
        <w:t xml:space="preserve"> (both volumes should be in every grad student’s library)</w:t>
      </w:r>
    </w:p>
    <w:p w14:paraId="779BF224" w14:textId="1D7DEF8B" w:rsidR="00A171D8" w:rsidRPr="00A171D8" w:rsidRDefault="00A171D8" w:rsidP="00A171D8">
      <w:pPr>
        <w:pStyle w:val="Body"/>
        <w:tabs>
          <w:tab w:val="left" w:pos="1080"/>
        </w:tabs>
        <w:ind w:left="720" w:hanging="360"/>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Sartorio, </w:t>
      </w:r>
      <w:r>
        <w:rPr>
          <w:rFonts w:ascii="Times New Roman" w:hAnsi="Times New Roman" w:cs="Times New Roman"/>
          <w:i/>
          <w:iCs/>
          <w:color w:val="000000" w:themeColor="text1"/>
          <w:sz w:val="24"/>
          <w:szCs w:val="24"/>
        </w:rPr>
        <w:t>Causation and Free Will</w:t>
      </w:r>
    </w:p>
    <w:p w14:paraId="60FFE376" w14:textId="77777777" w:rsidR="00A174C7" w:rsidRPr="00A174C7" w:rsidRDefault="00A174C7" w:rsidP="009027F9">
      <w:pPr>
        <w:pStyle w:val="Body"/>
        <w:tabs>
          <w:tab w:val="left" w:pos="1080"/>
        </w:tabs>
        <w:rPr>
          <w:rFonts w:ascii="Times New Roman" w:hAnsi="Times New Roman" w:cs="Times New Roman"/>
          <w:color w:val="000000" w:themeColor="text1"/>
          <w:sz w:val="24"/>
          <w:szCs w:val="24"/>
        </w:rPr>
      </w:pPr>
    </w:p>
    <w:p w14:paraId="53C60CD1" w14:textId="7B828523" w:rsidR="00A174C7" w:rsidRPr="00700AF6" w:rsidRDefault="00FA34B5" w:rsidP="009027F9">
      <w:pPr>
        <w:tabs>
          <w:tab w:val="left" w:pos="1080"/>
        </w:tabs>
        <w:rPr>
          <w:rFonts w:ascii="Times New Roman" w:hAnsi="Times New Roman" w:cs="Times New Roman"/>
          <w:b/>
          <w:bCs/>
        </w:rPr>
      </w:pPr>
      <w:r w:rsidRPr="00700AF6">
        <w:rPr>
          <w:rFonts w:ascii="Times New Roman" w:hAnsi="Times New Roman" w:cs="Times New Roman"/>
          <w:b/>
          <w:bCs/>
        </w:rPr>
        <w:t xml:space="preserve">Unit 1:  </w:t>
      </w:r>
      <w:r w:rsidR="006B6D97" w:rsidRPr="00700AF6">
        <w:rPr>
          <w:rFonts w:ascii="Times New Roman" w:hAnsi="Times New Roman" w:cs="Times New Roman"/>
          <w:b/>
          <w:bCs/>
        </w:rPr>
        <w:t>C</w:t>
      </w:r>
      <w:r w:rsidRPr="00700AF6">
        <w:rPr>
          <w:rFonts w:ascii="Times New Roman" w:hAnsi="Times New Roman" w:cs="Times New Roman"/>
          <w:b/>
          <w:bCs/>
        </w:rPr>
        <w:t>ausation</w:t>
      </w:r>
      <w:r w:rsidR="006B6D97" w:rsidRPr="00700AF6">
        <w:rPr>
          <w:rFonts w:ascii="Times New Roman" w:hAnsi="Times New Roman" w:cs="Times New Roman"/>
          <w:b/>
          <w:bCs/>
        </w:rPr>
        <w:t xml:space="preserve"> Boot Camp</w:t>
      </w:r>
    </w:p>
    <w:p w14:paraId="6FE69DCB" w14:textId="09922DCA" w:rsidR="00A174C7" w:rsidRDefault="00977ACE" w:rsidP="009027F9">
      <w:pPr>
        <w:tabs>
          <w:tab w:val="left" w:pos="1080"/>
        </w:tabs>
        <w:ind w:left="360"/>
        <w:rPr>
          <w:rFonts w:ascii="Times New Roman" w:hAnsi="Times New Roman" w:cs="Times New Roman"/>
        </w:rPr>
      </w:pPr>
      <w:r>
        <w:rPr>
          <w:rFonts w:ascii="Times New Roman" w:hAnsi="Times New Roman" w:cs="Times New Roman"/>
        </w:rPr>
        <w:t>9/6</w:t>
      </w:r>
      <w:r w:rsidR="008C5D44">
        <w:rPr>
          <w:rFonts w:ascii="Times New Roman" w:hAnsi="Times New Roman" w:cs="Times New Roman"/>
        </w:rPr>
        <w:tab/>
      </w:r>
      <w:r w:rsidR="006A71D9">
        <w:rPr>
          <w:rFonts w:ascii="Times New Roman" w:hAnsi="Times New Roman" w:cs="Times New Roman"/>
        </w:rPr>
        <w:t>Regularity theories and counterfactual theories</w:t>
      </w:r>
    </w:p>
    <w:p w14:paraId="582E2FBA" w14:textId="65A97B8A" w:rsidR="00A171D8" w:rsidRDefault="00A171D8" w:rsidP="00A171D8">
      <w:pPr>
        <w:tabs>
          <w:tab w:val="left" w:pos="1080"/>
        </w:tabs>
        <w:ind w:left="1080"/>
        <w:rPr>
          <w:rFonts w:ascii="Times New Roman" w:hAnsi="Times New Roman" w:cs="Times New Roman"/>
        </w:rPr>
      </w:pPr>
      <w:r>
        <w:rPr>
          <w:rFonts w:ascii="Times New Roman" w:hAnsi="Times New Roman" w:cs="Times New Roman"/>
        </w:rPr>
        <w:t xml:space="preserve">Hume, §7 part 2 from </w:t>
      </w:r>
      <w:r>
        <w:rPr>
          <w:rFonts w:ascii="Times New Roman" w:hAnsi="Times New Roman" w:cs="Times New Roman"/>
          <w:i/>
          <w:iCs/>
        </w:rPr>
        <w:t>An Enquiry Concerning Human Understanding</w:t>
      </w:r>
    </w:p>
    <w:p w14:paraId="1ADD6F2D" w14:textId="2D7ADFD7" w:rsidR="00A171D8" w:rsidRPr="00602FE5" w:rsidRDefault="00A171D8" w:rsidP="00A171D8">
      <w:pPr>
        <w:tabs>
          <w:tab w:val="left" w:pos="1080"/>
        </w:tabs>
        <w:ind w:left="1080"/>
        <w:rPr>
          <w:rFonts w:ascii="Times New Roman" w:hAnsi="Times New Roman" w:cs="Times New Roman"/>
          <w:i/>
          <w:iCs/>
        </w:rPr>
      </w:pPr>
      <w:r>
        <w:rPr>
          <w:rFonts w:ascii="Times New Roman" w:hAnsi="Times New Roman" w:cs="Times New Roman"/>
        </w:rPr>
        <w:t>Hume</w:t>
      </w:r>
      <w:r w:rsidR="00602FE5">
        <w:rPr>
          <w:rFonts w:ascii="Times New Roman" w:hAnsi="Times New Roman" w:cs="Times New Roman"/>
        </w:rPr>
        <w:t xml:space="preserve">, Abstract of </w:t>
      </w:r>
      <w:r w:rsidR="00602FE5">
        <w:rPr>
          <w:rFonts w:ascii="Times New Roman" w:hAnsi="Times New Roman" w:cs="Times New Roman"/>
          <w:i/>
          <w:iCs/>
        </w:rPr>
        <w:t>A Treatise of Human Nature</w:t>
      </w:r>
    </w:p>
    <w:p w14:paraId="0293298E" w14:textId="19944422" w:rsidR="00A171D8" w:rsidRDefault="00A171D8" w:rsidP="00A171D8">
      <w:pPr>
        <w:tabs>
          <w:tab w:val="left" w:pos="1080"/>
        </w:tabs>
        <w:ind w:left="1080"/>
        <w:rPr>
          <w:rFonts w:ascii="Times New Roman" w:hAnsi="Times New Roman" w:cs="Times New Roman"/>
        </w:rPr>
      </w:pPr>
      <w:r>
        <w:rPr>
          <w:rFonts w:ascii="Times New Roman" w:hAnsi="Times New Roman" w:cs="Times New Roman"/>
        </w:rPr>
        <w:t>Lewis, “Causation” (not including postscripts)</w:t>
      </w:r>
    </w:p>
    <w:p w14:paraId="5E36AC57" w14:textId="77777777" w:rsidR="00A171D8" w:rsidRPr="00A171D8" w:rsidRDefault="00A171D8" w:rsidP="00A171D8">
      <w:pPr>
        <w:spacing w:line="240" w:lineRule="exact"/>
        <w:ind w:left="1440" w:hanging="360"/>
        <w:rPr>
          <w:rFonts w:ascii="Times New Roman" w:hAnsi="Times New Roman" w:cs="Times New Roman"/>
        </w:rPr>
      </w:pPr>
      <w:r w:rsidRPr="00A171D8">
        <w:rPr>
          <w:rFonts w:ascii="Times New Roman" w:hAnsi="Times New Roman" w:cs="Times New Roman"/>
        </w:rPr>
        <w:t>Lewis, “Counterfactual Dependence and Time’s Arrow,” start at p. 41 (“analysis 2”) and read through p.48 (finish the section titled “The Future Similarity Objection”)</w:t>
      </w:r>
    </w:p>
    <w:p w14:paraId="7B77FC89" w14:textId="593E6F8D" w:rsidR="00A171D8" w:rsidRDefault="00A171D8" w:rsidP="00A171D8">
      <w:pPr>
        <w:tabs>
          <w:tab w:val="left" w:pos="1080"/>
        </w:tabs>
        <w:ind w:left="1080"/>
        <w:rPr>
          <w:rFonts w:ascii="Times New Roman" w:hAnsi="Times New Roman" w:cs="Times New Roman"/>
        </w:rPr>
      </w:pPr>
    </w:p>
    <w:p w14:paraId="002824E1" w14:textId="32158D22" w:rsidR="00A171D8" w:rsidRPr="00C054F6" w:rsidRDefault="00A171D8" w:rsidP="00A171D8">
      <w:pPr>
        <w:tabs>
          <w:tab w:val="left" w:pos="1080"/>
        </w:tabs>
        <w:ind w:left="1080"/>
        <w:rPr>
          <w:rFonts w:ascii="Times New Roman" w:hAnsi="Times New Roman" w:cs="Times New Roman"/>
          <w:i/>
          <w:iCs/>
          <w:sz w:val="20"/>
          <w:szCs w:val="20"/>
        </w:rPr>
      </w:pPr>
      <w:r w:rsidRPr="00C054F6">
        <w:rPr>
          <w:rFonts w:ascii="Times New Roman" w:hAnsi="Times New Roman" w:cs="Times New Roman"/>
          <w:i/>
          <w:iCs/>
          <w:sz w:val="20"/>
          <w:szCs w:val="20"/>
        </w:rPr>
        <w:t xml:space="preserve">Optional extra introductory material:  Fenton-Glynn, chapters 1, 2, and 4.1; Collins, Hall, and Paul </w:t>
      </w:r>
      <w:r w:rsidR="00C054F6">
        <w:rPr>
          <w:rFonts w:ascii="Times New Roman" w:hAnsi="Times New Roman" w:cs="Times New Roman"/>
          <w:i/>
          <w:iCs/>
          <w:sz w:val="20"/>
          <w:szCs w:val="20"/>
        </w:rPr>
        <w:t>§§</w:t>
      </w:r>
      <w:r w:rsidRPr="00C054F6">
        <w:rPr>
          <w:rFonts w:ascii="Times New Roman" w:hAnsi="Times New Roman" w:cs="Times New Roman"/>
          <w:i/>
          <w:iCs/>
          <w:sz w:val="20"/>
          <w:szCs w:val="20"/>
        </w:rPr>
        <w:t>0-3</w:t>
      </w:r>
      <w:r w:rsidR="00C054F6">
        <w:rPr>
          <w:rFonts w:ascii="Times New Roman" w:hAnsi="Times New Roman" w:cs="Times New Roman"/>
          <w:i/>
          <w:iCs/>
          <w:sz w:val="20"/>
          <w:szCs w:val="20"/>
        </w:rPr>
        <w:t xml:space="preserve">; </w:t>
      </w:r>
      <w:proofErr w:type="spellStart"/>
      <w:r w:rsidR="00C054F6">
        <w:rPr>
          <w:rFonts w:ascii="Times New Roman" w:hAnsi="Times New Roman" w:cs="Times New Roman"/>
          <w:i/>
          <w:iCs/>
          <w:sz w:val="20"/>
          <w:szCs w:val="20"/>
        </w:rPr>
        <w:t>Beebee</w:t>
      </w:r>
      <w:proofErr w:type="spellEnd"/>
      <w:r w:rsidR="00C054F6">
        <w:rPr>
          <w:rFonts w:ascii="Times New Roman" w:hAnsi="Times New Roman" w:cs="Times New Roman"/>
          <w:i/>
          <w:iCs/>
          <w:sz w:val="20"/>
          <w:szCs w:val="20"/>
        </w:rPr>
        <w:t xml:space="preserve"> &amp; Menzies, “Counterfactual theories of causation” (Stanford Encyclopedia)</w:t>
      </w:r>
    </w:p>
    <w:p w14:paraId="74BBDA10" w14:textId="77777777" w:rsidR="00C054F6" w:rsidRDefault="00C054F6" w:rsidP="009027F9">
      <w:pPr>
        <w:tabs>
          <w:tab w:val="left" w:pos="1080"/>
        </w:tabs>
        <w:ind w:left="360"/>
        <w:rPr>
          <w:rFonts w:ascii="Times New Roman" w:hAnsi="Times New Roman" w:cs="Times New Roman"/>
        </w:rPr>
      </w:pPr>
    </w:p>
    <w:p w14:paraId="282A759F" w14:textId="2F413C87" w:rsidR="00977ACE" w:rsidRDefault="00977ACE" w:rsidP="009027F9">
      <w:pPr>
        <w:tabs>
          <w:tab w:val="left" w:pos="1080"/>
        </w:tabs>
        <w:ind w:left="360"/>
        <w:rPr>
          <w:rFonts w:ascii="Times New Roman" w:hAnsi="Times New Roman" w:cs="Times New Roman"/>
        </w:rPr>
      </w:pPr>
      <w:r>
        <w:rPr>
          <w:rFonts w:ascii="Times New Roman" w:hAnsi="Times New Roman" w:cs="Times New Roman"/>
        </w:rPr>
        <w:t>9/13</w:t>
      </w:r>
      <w:r w:rsidR="008C5D44">
        <w:rPr>
          <w:rFonts w:ascii="Times New Roman" w:hAnsi="Times New Roman" w:cs="Times New Roman"/>
        </w:rPr>
        <w:tab/>
      </w:r>
      <w:r w:rsidR="006A71D9">
        <w:rPr>
          <w:rFonts w:ascii="Times New Roman" w:hAnsi="Times New Roman" w:cs="Times New Roman"/>
        </w:rPr>
        <w:t>Counterfactual theories continued; causal modeling</w:t>
      </w:r>
    </w:p>
    <w:p w14:paraId="558BB084" w14:textId="1B3BD2B3" w:rsidR="00C054F6" w:rsidRDefault="00C054F6" w:rsidP="00C054F6">
      <w:pPr>
        <w:tabs>
          <w:tab w:val="left" w:pos="1080"/>
        </w:tabs>
        <w:ind w:left="1080"/>
        <w:rPr>
          <w:rFonts w:ascii="Times New Roman" w:hAnsi="Times New Roman" w:cs="Times New Roman"/>
        </w:rPr>
      </w:pPr>
      <w:r>
        <w:rPr>
          <w:rFonts w:ascii="Times New Roman" w:hAnsi="Times New Roman" w:cs="Times New Roman"/>
        </w:rPr>
        <w:t xml:space="preserve">Lewis, </w:t>
      </w:r>
      <w:r w:rsidR="00CD17BF">
        <w:rPr>
          <w:rFonts w:ascii="Times New Roman" w:hAnsi="Times New Roman" w:cs="Times New Roman"/>
        </w:rPr>
        <w:t>“</w:t>
      </w:r>
      <w:r>
        <w:rPr>
          <w:rFonts w:ascii="Times New Roman" w:hAnsi="Times New Roman" w:cs="Times New Roman"/>
        </w:rPr>
        <w:t>Postscript E</w:t>
      </w:r>
      <w:r w:rsidR="00CD17BF">
        <w:rPr>
          <w:rFonts w:ascii="Times New Roman" w:hAnsi="Times New Roman" w:cs="Times New Roman"/>
        </w:rPr>
        <w:t>”</w:t>
      </w:r>
      <w:r>
        <w:rPr>
          <w:rFonts w:ascii="Times New Roman" w:hAnsi="Times New Roman" w:cs="Times New Roman"/>
        </w:rPr>
        <w:t xml:space="preserve"> </w:t>
      </w:r>
    </w:p>
    <w:p w14:paraId="7D5AADE1" w14:textId="1F66A40D" w:rsidR="00C054F6" w:rsidRDefault="00C054F6" w:rsidP="00C054F6">
      <w:pPr>
        <w:tabs>
          <w:tab w:val="left" w:pos="1080"/>
        </w:tabs>
        <w:ind w:left="1080"/>
        <w:rPr>
          <w:rFonts w:ascii="Times New Roman" w:hAnsi="Times New Roman" w:cs="Times New Roman"/>
        </w:rPr>
      </w:pPr>
      <w:r>
        <w:rPr>
          <w:rFonts w:ascii="Times New Roman" w:hAnsi="Times New Roman" w:cs="Times New Roman"/>
        </w:rPr>
        <w:t>Lewis, “Causation as Influence”</w:t>
      </w:r>
    </w:p>
    <w:p w14:paraId="3D73AF2F" w14:textId="7796E67C" w:rsidR="00FC6C11" w:rsidRDefault="00FC6C11" w:rsidP="00C054F6">
      <w:pPr>
        <w:tabs>
          <w:tab w:val="left" w:pos="1080"/>
        </w:tabs>
        <w:ind w:left="1080"/>
        <w:rPr>
          <w:rFonts w:ascii="Times New Roman" w:hAnsi="Times New Roman" w:cs="Times New Roman"/>
        </w:rPr>
      </w:pPr>
      <w:r>
        <w:rPr>
          <w:rFonts w:ascii="Times New Roman" w:hAnsi="Times New Roman" w:cs="Times New Roman"/>
        </w:rPr>
        <w:t>Hitchcock, “The Intransitivity of Causation Revealed in Equations and Graphs”</w:t>
      </w:r>
    </w:p>
    <w:p w14:paraId="5CA50DF9" w14:textId="47E06C61" w:rsidR="005F1149" w:rsidRDefault="005F1149" w:rsidP="005F1149">
      <w:pPr>
        <w:tabs>
          <w:tab w:val="left" w:pos="1080"/>
        </w:tabs>
        <w:ind w:left="1080"/>
        <w:rPr>
          <w:rFonts w:ascii="Times New Roman" w:hAnsi="Times New Roman" w:cs="Times New Roman"/>
        </w:rPr>
      </w:pPr>
      <w:r>
        <w:rPr>
          <w:rFonts w:ascii="Times New Roman" w:hAnsi="Times New Roman" w:cs="Times New Roman"/>
        </w:rPr>
        <w:t>Fenton-Glynn, §4.6-4.6.2</w:t>
      </w:r>
    </w:p>
    <w:p w14:paraId="731519F5" w14:textId="77777777" w:rsidR="00FC6C11" w:rsidRDefault="00FC6C11" w:rsidP="00C054F6">
      <w:pPr>
        <w:tabs>
          <w:tab w:val="left" w:pos="1080"/>
        </w:tabs>
        <w:ind w:left="1080"/>
        <w:rPr>
          <w:rFonts w:ascii="Times New Roman" w:hAnsi="Times New Roman" w:cs="Times New Roman"/>
        </w:rPr>
      </w:pPr>
    </w:p>
    <w:p w14:paraId="3FB03FBE" w14:textId="143D6875" w:rsidR="00C054F6" w:rsidRPr="00C054F6" w:rsidRDefault="00C054F6" w:rsidP="00C054F6">
      <w:pPr>
        <w:tabs>
          <w:tab w:val="left" w:pos="1080"/>
        </w:tabs>
        <w:ind w:left="1080"/>
        <w:rPr>
          <w:rFonts w:ascii="Times New Roman" w:hAnsi="Times New Roman" w:cs="Times New Roman"/>
          <w:i/>
          <w:iCs/>
          <w:sz w:val="20"/>
          <w:szCs w:val="20"/>
        </w:rPr>
      </w:pPr>
      <w:r w:rsidRPr="00C054F6">
        <w:rPr>
          <w:rFonts w:ascii="Times New Roman" w:hAnsi="Times New Roman" w:cs="Times New Roman"/>
          <w:i/>
          <w:iCs/>
          <w:sz w:val="20"/>
          <w:szCs w:val="20"/>
        </w:rPr>
        <w:t>Optional extra introductory material:</w:t>
      </w:r>
      <w:r>
        <w:rPr>
          <w:rFonts w:ascii="Times New Roman" w:hAnsi="Times New Roman" w:cs="Times New Roman"/>
          <w:i/>
          <w:iCs/>
          <w:sz w:val="20"/>
          <w:szCs w:val="20"/>
        </w:rPr>
        <w:t xml:space="preserve"> Collins, Hall, and </w:t>
      </w:r>
      <w:r w:rsidRPr="00C054F6">
        <w:rPr>
          <w:rFonts w:ascii="Times New Roman" w:hAnsi="Times New Roman" w:cs="Times New Roman"/>
          <w:i/>
          <w:iCs/>
          <w:sz w:val="20"/>
          <w:szCs w:val="20"/>
        </w:rPr>
        <w:t>Paul §4; Fenton-Glynn 4.2-4.5</w:t>
      </w:r>
    </w:p>
    <w:p w14:paraId="6C8E27A0" w14:textId="735683F5" w:rsidR="00C054F6" w:rsidRDefault="000441D2" w:rsidP="00C054F6">
      <w:pPr>
        <w:tabs>
          <w:tab w:val="left" w:pos="1080"/>
        </w:tabs>
        <w:ind w:left="1080"/>
        <w:rPr>
          <w:rFonts w:ascii="Times New Roman" w:hAnsi="Times New Roman" w:cs="Times New Roman"/>
          <w:i/>
          <w:sz w:val="20"/>
          <w:szCs w:val="20"/>
        </w:rPr>
      </w:pPr>
      <w:r>
        <w:rPr>
          <w:rFonts w:ascii="Times New Roman" w:hAnsi="Times New Roman" w:cs="Times New Roman"/>
          <w:i/>
          <w:sz w:val="20"/>
          <w:szCs w:val="20"/>
        </w:rPr>
        <w:t xml:space="preserve">Other optional extra:  </w:t>
      </w:r>
      <w:r w:rsidR="00951F13" w:rsidRPr="000441D2">
        <w:rPr>
          <w:rFonts w:ascii="Times New Roman" w:hAnsi="Times New Roman" w:cs="Times New Roman"/>
          <w:i/>
          <w:sz w:val="20"/>
          <w:szCs w:val="20"/>
        </w:rPr>
        <w:t>*Schaffer, “Trumping preemption”</w:t>
      </w:r>
    </w:p>
    <w:p w14:paraId="08BE3BB9" w14:textId="77777777" w:rsidR="000441D2" w:rsidRPr="000441D2" w:rsidRDefault="000441D2" w:rsidP="00C054F6">
      <w:pPr>
        <w:tabs>
          <w:tab w:val="left" w:pos="1080"/>
        </w:tabs>
        <w:ind w:left="1080"/>
        <w:rPr>
          <w:rFonts w:ascii="Times New Roman" w:hAnsi="Times New Roman" w:cs="Times New Roman"/>
          <w:sz w:val="20"/>
          <w:szCs w:val="20"/>
        </w:rPr>
      </w:pPr>
    </w:p>
    <w:p w14:paraId="4C148A78" w14:textId="17A254A6" w:rsidR="00B71CAE" w:rsidRPr="00700AF6" w:rsidRDefault="00B71CAE" w:rsidP="009027F9">
      <w:pPr>
        <w:tabs>
          <w:tab w:val="left" w:pos="1080"/>
        </w:tabs>
        <w:rPr>
          <w:rFonts w:ascii="Times New Roman" w:hAnsi="Times New Roman" w:cs="Times New Roman"/>
          <w:b/>
          <w:bCs/>
        </w:rPr>
      </w:pPr>
      <w:r w:rsidRPr="00700AF6">
        <w:rPr>
          <w:rFonts w:ascii="Times New Roman" w:hAnsi="Times New Roman" w:cs="Times New Roman"/>
          <w:b/>
          <w:bCs/>
        </w:rPr>
        <w:t>Unit 2:</w:t>
      </w:r>
      <w:r w:rsidR="006A71D9" w:rsidRPr="00700AF6">
        <w:rPr>
          <w:rFonts w:ascii="Times New Roman" w:hAnsi="Times New Roman" w:cs="Times New Roman"/>
          <w:b/>
          <w:bCs/>
        </w:rPr>
        <w:t xml:space="preserve">  </w:t>
      </w:r>
      <w:r w:rsidR="008A1B24">
        <w:rPr>
          <w:rFonts w:ascii="Times New Roman" w:hAnsi="Times New Roman" w:cs="Times New Roman"/>
          <w:b/>
          <w:bCs/>
        </w:rPr>
        <w:t>M</w:t>
      </w:r>
      <w:r w:rsidR="00700AF6">
        <w:rPr>
          <w:rFonts w:ascii="Times New Roman" w:hAnsi="Times New Roman" w:cs="Times New Roman"/>
          <w:b/>
          <w:bCs/>
        </w:rPr>
        <w:t>ethodological issues</w:t>
      </w:r>
      <w:r w:rsidR="0041127F">
        <w:rPr>
          <w:rFonts w:ascii="Times New Roman" w:hAnsi="Times New Roman" w:cs="Times New Roman"/>
          <w:b/>
          <w:bCs/>
        </w:rPr>
        <w:t xml:space="preserve"> </w:t>
      </w:r>
      <w:r w:rsidR="008A1B24">
        <w:rPr>
          <w:rFonts w:ascii="Times New Roman" w:hAnsi="Times New Roman" w:cs="Times New Roman"/>
          <w:b/>
          <w:bCs/>
        </w:rPr>
        <w:t>and the relationship between token and type causation</w:t>
      </w:r>
    </w:p>
    <w:p w14:paraId="013465BF" w14:textId="72779824" w:rsidR="008A1B24" w:rsidRDefault="00E4604D" w:rsidP="00E4604D">
      <w:pPr>
        <w:tabs>
          <w:tab w:val="left" w:pos="1080"/>
        </w:tabs>
        <w:ind w:left="360"/>
        <w:rPr>
          <w:rFonts w:ascii="Times New Roman" w:hAnsi="Times New Roman" w:cs="Times New Roman"/>
        </w:rPr>
      </w:pPr>
      <w:r>
        <w:rPr>
          <w:rFonts w:ascii="Times New Roman" w:hAnsi="Times New Roman" w:cs="Times New Roman"/>
        </w:rPr>
        <w:t>9/20</w:t>
      </w:r>
      <w:r w:rsidR="00196AD0">
        <w:rPr>
          <w:rFonts w:ascii="Times New Roman" w:hAnsi="Times New Roman" w:cs="Times New Roman"/>
        </w:rPr>
        <w:tab/>
      </w:r>
      <w:r w:rsidR="008A1B24">
        <w:rPr>
          <w:rFonts w:ascii="Times New Roman" w:hAnsi="Times New Roman" w:cs="Times New Roman"/>
        </w:rPr>
        <w:t>Collins, Hall, and Paul, §5</w:t>
      </w:r>
      <w:r w:rsidR="001424E2">
        <w:rPr>
          <w:rFonts w:ascii="Times New Roman" w:hAnsi="Times New Roman" w:cs="Times New Roman"/>
        </w:rPr>
        <w:t>, “Methodology”</w:t>
      </w:r>
    </w:p>
    <w:p w14:paraId="0C4FBB01" w14:textId="16FDCD9C" w:rsidR="008A1B24" w:rsidRDefault="008A1B24" w:rsidP="00E4604D">
      <w:pPr>
        <w:tabs>
          <w:tab w:val="left" w:pos="1080"/>
        </w:tabs>
        <w:ind w:left="360"/>
        <w:rPr>
          <w:rFonts w:ascii="Times New Roman" w:hAnsi="Times New Roman" w:cs="Times New Roman"/>
        </w:rPr>
      </w:pPr>
      <w:r>
        <w:rPr>
          <w:rFonts w:ascii="Times New Roman" w:hAnsi="Times New Roman" w:cs="Times New Roman"/>
        </w:rPr>
        <w:tab/>
        <w:t>Fenton-Glynn, §3.4.1</w:t>
      </w:r>
      <w:r w:rsidR="001424E2">
        <w:rPr>
          <w:rFonts w:ascii="Times New Roman" w:hAnsi="Times New Roman" w:cs="Times New Roman"/>
        </w:rPr>
        <w:t>, “Concepts vs. Metaphysics”</w:t>
      </w:r>
    </w:p>
    <w:p w14:paraId="525F610C" w14:textId="5FB03831" w:rsidR="008A1B24" w:rsidRPr="00AD2736" w:rsidRDefault="001424E2" w:rsidP="00E4604D">
      <w:pPr>
        <w:tabs>
          <w:tab w:val="left" w:pos="1080"/>
        </w:tabs>
        <w:ind w:left="360"/>
        <w:rPr>
          <w:rFonts w:ascii="Times New Roman" w:hAnsi="Times New Roman" w:cs="Times New Roman"/>
          <w:lang w:val="nb-NO"/>
        </w:rPr>
      </w:pPr>
      <w:r>
        <w:rPr>
          <w:rFonts w:ascii="Times New Roman" w:hAnsi="Times New Roman" w:cs="Times New Roman"/>
        </w:rPr>
        <w:tab/>
      </w:r>
      <w:proofErr w:type="spellStart"/>
      <w:r w:rsidR="008A1B24" w:rsidRPr="00AD2736">
        <w:rPr>
          <w:rFonts w:ascii="Times New Roman" w:hAnsi="Times New Roman" w:cs="Times New Roman"/>
          <w:lang w:val="nb-NO"/>
        </w:rPr>
        <w:t>Fenton-Glynn</w:t>
      </w:r>
      <w:proofErr w:type="spellEnd"/>
      <w:r w:rsidR="008A1B24" w:rsidRPr="00AD2736">
        <w:rPr>
          <w:rFonts w:ascii="Times New Roman" w:hAnsi="Times New Roman" w:cs="Times New Roman"/>
          <w:lang w:val="nb-NO"/>
        </w:rPr>
        <w:t xml:space="preserve"> §3.3</w:t>
      </w:r>
      <w:r w:rsidR="009E571C" w:rsidRPr="00AD2736">
        <w:rPr>
          <w:rFonts w:ascii="Times New Roman" w:hAnsi="Times New Roman" w:cs="Times New Roman"/>
          <w:lang w:val="nb-NO"/>
        </w:rPr>
        <w:t>, “Token vs. Type”</w:t>
      </w:r>
    </w:p>
    <w:p w14:paraId="67761B67" w14:textId="640F1C82" w:rsidR="008A1B24" w:rsidRDefault="001424E2" w:rsidP="00E4604D">
      <w:pPr>
        <w:tabs>
          <w:tab w:val="left" w:pos="1080"/>
        </w:tabs>
        <w:ind w:left="360"/>
        <w:rPr>
          <w:rFonts w:ascii="Times New Roman" w:hAnsi="Times New Roman" w:cs="Times New Roman"/>
        </w:rPr>
      </w:pPr>
      <w:r w:rsidRPr="00AD2736">
        <w:rPr>
          <w:rFonts w:ascii="Times New Roman" w:hAnsi="Times New Roman" w:cs="Times New Roman"/>
          <w:lang w:val="nb-NO"/>
        </w:rPr>
        <w:tab/>
      </w:r>
      <w:proofErr w:type="spellStart"/>
      <w:r w:rsidR="008A1B24">
        <w:rPr>
          <w:rFonts w:ascii="Times New Roman" w:hAnsi="Times New Roman" w:cs="Times New Roman"/>
        </w:rPr>
        <w:t>Gallow</w:t>
      </w:r>
      <w:proofErr w:type="spellEnd"/>
      <w:r w:rsidR="008A1B24">
        <w:rPr>
          <w:rFonts w:ascii="Times New Roman" w:hAnsi="Times New Roman" w:cs="Times New Roman"/>
        </w:rPr>
        <w:t>, “The Metaphysics of Causation (SEP entry),” §2.1</w:t>
      </w:r>
    </w:p>
    <w:p w14:paraId="3C8F92C8" w14:textId="301ADE41" w:rsidR="00196AD0" w:rsidRDefault="008A1B24" w:rsidP="00E4604D">
      <w:pPr>
        <w:tabs>
          <w:tab w:val="left" w:pos="1080"/>
        </w:tabs>
        <w:ind w:left="360"/>
        <w:rPr>
          <w:rFonts w:ascii="Times New Roman" w:hAnsi="Times New Roman" w:cs="Times New Roman"/>
        </w:rPr>
      </w:pPr>
      <w:r>
        <w:rPr>
          <w:rFonts w:ascii="Times New Roman" w:hAnsi="Times New Roman" w:cs="Times New Roman"/>
        </w:rPr>
        <w:tab/>
      </w:r>
      <w:r w:rsidR="00196AD0">
        <w:rPr>
          <w:rFonts w:ascii="Times New Roman" w:hAnsi="Times New Roman" w:cs="Times New Roman"/>
        </w:rPr>
        <w:t>Hitchcock, “Mishap at Reichenbach Fall: Singular vs. General Causation”</w:t>
      </w:r>
    </w:p>
    <w:p w14:paraId="74F0593D" w14:textId="77777777" w:rsidR="0003047F" w:rsidRDefault="0003047F" w:rsidP="00E4604D">
      <w:pPr>
        <w:tabs>
          <w:tab w:val="left" w:pos="1080"/>
        </w:tabs>
        <w:ind w:left="360"/>
        <w:rPr>
          <w:rFonts w:ascii="Times New Roman" w:hAnsi="Times New Roman" w:cs="Times New Roman"/>
        </w:rPr>
      </w:pPr>
    </w:p>
    <w:p w14:paraId="335DB451" w14:textId="37C1F4FF" w:rsidR="0003047F" w:rsidRPr="00700AF6" w:rsidRDefault="0003047F" w:rsidP="0003047F">
      <w:pPr>
        <w:tabs>
          <w:tab w:val="left" w:pos="1080"/>
        </w:tabs>
        <w:rPr>
          <w:rFonts w:ascii="Times New Roman" w:hAnsi="Times New Roman" w:cs="Times New Roman"/>
          <w:b/>
          <w:bCs/>
        </w:rPr>
      </w:pPr>
      <w:r w:rsidRPr="00700AF6">
        <w:rPr>
          <w:rFonts w:ascii="Times New Roman" w:hAnsi="Times New Roman" w:cs="Times New Roman"/>
          <w:b/>
          <w:bCs/>
        </w:rPr>
        <w:t xml:space="preserve">Unit </w:t>
      </w:r>
      <w:r>
        <w:rPr>
          <w:rFonts w:ascii="Times New Roman" w:hAnsi="Times New Roman" w:cs="Times New Roman"/>
          <w:b/>
          <w:bCs/>
        </w:rPr>
        <w:t>3</w:t>
      </w:r>
      <w:r w:rsidRPr="00700AF6">
        <w:rPr>
          <w:rFonts w:ascii="Times New Roman" w:hAnsi="Times New Roman" w:cs="Times New Roman"/>
          <w:b/>
          <w:bCs/>
        </w:rPr>
        <w:t>:  The causal relata &amp; causation by omission</w:t>
      </w:r>
    </w:p>
    <w:p w14:paraId="0BC48547" w14:textId="77777777" w:rsidR="0007638E" w:rsidRDefault="00E4604D" w:rsidP="0007638E">
      <w:pPr>
        <w:tabs>
          <w:tab w:val="left" w:pos="1080"/>
        </w:tabs>
        <w:ind w:left="360"/>
        <w:rPr>
          <w:rFonts w:ascii="Times New Roman" w:hAnsi="Times New Roman" w:cs="Times New Roman"/>
        </w:rPr>
      </w:pPr>
      <w:r>
        <w:rPr>
          <w:rFonts w:ascii="Times New Roman" w:hAnsi="Times New Roman" w:cs="Times New Roman"/>
        </w:rPr>
        <w:t>9/27</w:t>
      </w:r>
      <w:r w:rsidR="00EB29F1">
        <w:rPr>
          <w:rFonts w:ascii="Times New Roman" w:hAnsi="Times New Roman" w:cs="Times New Roman"/>
        </w:rPr>
        <w:tab/>
      </w:r>
      <w:proofErr w:type="spellStart"/>
      <w:r w:rsidR="0007638E">
        <w:rPr>
          <w:rFonts w:ascii="Times New Roman" w:hAnsi="Times New Roman" w:cs="Times New Roman"/>
        </w:rPr>
        <w:t>Gallow</w:t>
      </w:r>
      <w:proofErr w:type="spellEnd"/>
      <w:r w:rsidR="0007638E">
        <w:rPr>
          <w:rFonts w:ascii="Times New Roman" w:hAnsi="Times New Roman" w:cs="Times New Roman"/>
        </w:rPr>
        <w:t>, §1.1 of “The Metaphysics of Causation (SEP)”</w:t>
      </w:r>
    </w:p>
    <w:p w14:paraId="0D39A101" w14:textId="50B80947" w:rsidR="0007638E" w:rsidRDefault="0007638E" w:rsidP="0007638E">
      <w:pPr>
        <w:tabs>
          <w:tab w:val="left" w:pos="108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Schaffer, “Contrastive Causation”</w:t>
      </w:r>
    </w:p>
    <w:p w14:paraId="76E25D48" w14:textId="3F48D73D" w:rsidR="0007638E" w:rsidRDefault="0007638E" w:rsidP="0007638E">
      <w:pPr>
        <w:tabs>
          <w:tab w:val="left" w:pos="108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Paul, “Aspect Causation”</w:t>
      </w:r>
    </w:p>
    <w:p w14:paraId="63555E01" w14:textId="65217CA7" w:rsidR="00D31713" w:rsidRDefault="00D31713" w:rsidP="00E4604D">
      <w:pPr>
        <w:tabs>
          <w:tab w:val="left" w:pos="1080"/>
        </w:tabs>
        <w:ind w:left="360"/>
        <w:rPr>
          <w:rFonts w:ascii="Times New Roman" w:hAnsi="Times New Roman" w:cs="Times New Roman"/>
        </w:rPr>
      </w:pPr>
    </w:p>
    <w:p w14:paraId="149CFC68" w14:textId="77777777" w:rsidR="0007638E" w:rsidRDefault="00AD2736" w:rsidP="0007638E">
      <w:pPr>
        <w:tabs>
          <w:tab w:val="left" w:pos="1080"/>
        </w:tabs>
        <w:ind w:left="360"/>
        <w:rPr>
          <w:rFonts w:ascii="Times New Roman" w:hAnsi="Times New Roman" w:cs="Times New Roman"/>
        </w:rPr>
      </w:pPr>
      <w:r>
        <w:rPr>
          <w:rFonts w:ascii="Times New Roman" w:hAnsi="Times New Roman" w:cs="Times New Roman"/>
        </w:rPr>
        <w:t>10/4</w:t>
      </w:r>
      <w:r>
        <w:rPr>
          <w:rFonts w:ascii="Times New Roman" w:hAnsi="Times New Roman" w:cs="Times New Roman"/>
        </w:rPr>
        <w:tab/>
      </w:r>
      <w:r w:rsidR="0007638E">
        <w:rPr>
          <w:rFonts w:ascii="Times New Roman" w:hAnsi="Times New Roman" w:cs="Times New Roman"/>
        </w:rPr>
        <w:t>Lewis, Postscript D</w:t>
      </w:r>
    </w:p>
    <w:p w14:paraId="658BD448" w14:textId="6D6007C8" w:rsidR="0007638E" w:rsidRDefault="0007638E" w:rsidP="0007638E">
      <w:pPr>
        <w:tabs>
          <w:tab w:val="left" w:pos="108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Schaffer, “Causation by Disconnection”</w:t>
      </w:r>
    </w:p>
    <w:p w14:paraId="405BB854" w14:textId="18177553" w:rsidR="0007638E" w:rsidRDefault="0007638E" w:rsidP="0007638E">
      <w:pPr>
        <w:tabs>
          <w:tab w:val="left" w:pos="1080"/>
        </w:tabs>
        <w:ind w:left="36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Beebee</w:t>
      </w:r>
      <w:proofErr w:type="spellEnd"/>
      <w:r>
        <w:rPr>
          <w:rFonts w:ascii="Times New Roman" w:hAnsi="Times New Roman" w:cs="Times New Roman"/>
        </w:rPr>
        <w:t>, “Causation and Nothingness”</w:t>
      </w:r>
    </w:p>
    <w:p w14:paraId="19BB571E" w14:textId="56FCB9C2" w:rsidR="0007638E" w:rsidRDefault="0007638E" w:rsidP="0007638E">
      <w:pPr>
        <w:tabs>
          <w:tab w:val="left" w:pos="108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McGrath, “Causation by Omission: A Dilemma”</w:t>
      </w:r>
    </w:p>
    <w:p w14:paraId="774EA9E8" w14:textId="4F70CF1B" w:rsidR="00E4604D" w:rsidRDefault="00E4604D" w:rsidP="00E4604D">
      <w:pPr>
        <w:tabs>
          <w:tab w:val="left" w:pos="1080"/>
        </w:tabs>
        <w:rPr>
          <w:rFonts w:ascii="Times New Roman" w:hAnsi="Times New Roman" w:cs="Times New Roman"/>
        </w:rPr>
      </w:pPr>
    </w:p>
    <w:p w14:paraId="1FD93028" w14:textId="650A55C6" w:rsidR="00E4604D" w:rsidRPr="009507AE" w:rsidRDefault="009507AE" w:rsidP="00E4604D">
      <w:pPr>
        <w:tabs>
          <w:tab w:val="left" w:pos="1080"/>
        </w:tabs>
        <w:rPr>
          <w:rFonts w:ascii="Times New Roman" w:hAnsi="Times New Roman" w:cs="Times New Roman"/>
          <w:b/>
          <w:bCs/>
        </w:rPr>
      </w:pPr>
      <w:r>
        <w:rPr>
          <w:rFonts w:ascii="Times New Roman" w:hAnsi="Times New Roman" w:cs="Times New Roman"/>
          <w:b/>
          <w:bCs/>
        </w:rPr>
        <w:t>Round 1 of presentations</w:t>
      </w:r>
    </w:p>
    <w:p w14:paraId="35C60B9C" w14:textId="4D5AD17C" w:rsidR="00E4604D" w:rsidRDefault="00E4604D" w:rsidP="00E4604D">
      <w:pPr>
        <w:tabs>
          <w:tab w:val="left" w:pos="1080"/>
        </w:tabs>
        <w:ind w:left="360"/>
        <w:rPr>
          <w:rFonts w:ascii="Times New Roman" w:hAnsi="Times New Roman" w:cs="Times New Roman"/>
        </w:rPr>
      </w:pPr>
      <w:r>
        <w:rPr>
          <w:rFonts w:ascii="Times New Roman" w:hAnsi="Times New Roman" w:cs="Times New Roman"/>
        </w:rPr>
        <w:t>10/1</w:t>
      </w:r>
      <w:r w:rsidR="004D7952">
        <w:rPr>
          <w:rFonts w:ascii="Times New Roman" w:hAnsi="Times New Roman" w:cs="Times New Roman"/>
        </w:rPr>
        <w:t>1</w:t>
      </w:r>
      <w:r>
        <w:rPr>
          <w:rFonts w:ascii="Times New Roman" w:hAnsi="Times New Roman" w:cs="Times New Roman"/>
        </w:rPr>
        <w:tab/>
      </w:r>
      <w:r w:rsidRPr="00A053D6">
        <w:rPr>
          <w:rFonts w:ascii="Times New Roman" w:hAnsi="Times New Roman" w:cs="Times New Roman"/>
          <w:b/>
          <w:bCs/>
        </w:rPr>
        <w:t>presentations</w:t>
      </w:r>
      <w:r w:rsidR="00656044">
        <w:rPr>
          <w:rFonts w:ascii="Times New Roman" w:hAnsi="Times New Roman" w:cs="Times New Roman"/>
          <w:b/>
          <w:bCs/>
        </w:rPr>
        <w:t xml:space="preserve"> -- seminar will start at 3:30 (K has an unmovable </w:t>
      </w:r>
      <w:proofErr w:type="spellStart"/>
      <w:r w:rsidR="00656044">
        <w:rPr>
          <w:rFonts w:ascii="Times New Roman" w:hAnsi="Times New Roman" w:cs="Times New Roman"/>
          <w:b/>
          <w:bCs/>
        </w:rPr>
        <w:t>dr</w:t>
      </w:r>
      <w:proofErr w:type="spellEnd"/>
      <w:r w:rsidR="00656044">
        <w:rPr>
          <w:rFonts w:ascii="Times New Roman" w:hAnsi="Times New Roman" w:cs="Times New Roman"/>
          <w:b/>
          <w:bCs/>
        </w:rPr>
        <w:t xml:space="preserve"> appt)</w:t>
      </w:r>
    </w:p>
    <w:p w14:paraId="3166D62B" w14:textId="0AA9A14C" w:rsidR="00E4604D" w:rsidRDefault="00E4604D" w:rsidP="00E4604D">
      <w:pPr>
        <w:tabs>
          <w:tab w:val="left" w:pos="1080"/>
        </w:tabs>
        <w:ind w:left="360"/>
        <w:rPr>
          <w:rFonts w:ascii="Times New Roman" w:hAnsi="Times New Roman" w:cs="Times New Roman"/>
        </w:rPr>
      </w:pPr>
      <w:r>
        <w:rPr>
          <w:rFonts w:ascii="Times New Roman" w:hAnsi="Times New Roman" w:cs="Times New Roman"/>
        </w:rPr>
        <w:t>10/</w:t>
      </w:r>
      <w:r w:rsidR="004D7952">
        <w:rPr>
          <w:rFonts w:ascii="Times New Roman" w:hAnsi="Times New Roman" w:cs="Times New Roman"/>
        </w:rPr>
        <w:t>18</w:t>
      </w:r>
      <w:r>
        <w:rPr>
          <w:rFonts w:ascii="Times New Roman" w:hAnsi="Times New Roman" w:cs="Times New Roman"/>
        </w:rPr>
        <w:tab/>
      </w:r>
      <w:r w:rsidRPr="00A053D6">
        <w:rPr>
          <w:rFonts w:ascii="Times New Roman" w:hAnsi="Times New Roman" w:cs="Times New Roman"/>
          <w:b/>
          <w:bCs/>
        </w:rPr>
        <w:t>presentations</w:t>
      </w:r>
    </w:p>
    <w:p w14:paraId="448FCD11" w14:textId="027909B9" w:rsidR="00E4604D" w:rsidRDefault="00E4604D" w:rsidP="00E4604D">
      <w:pPr>
        <w:tabs>
          <w:tab w:val="left" w:pos="1080"/>
        </w:tabs>
        <w:rPr>
          <w:rFonts w:ascii="Times New Roman" w:hAnsi="Times New Roman" w:cs="Times New Roman"/>
        </w:rPr>
      </w:pPr>
    </w:p>
    <w:p w14:paraId="7B7A4488" w14:textId="7105F367" w:rsidR="004D7952" w:rsidRPr="00700AF6" w:rsidRDefault="004D7952" w:rsidP="004D7952">
      <w:pPr>
        <w:tabs>
          <w:tab w:val="left" w:pos="1080"/>
        </w:tabs>
        <w:rPr>
          <w:rFonts w:ascii="Times New Roman" w:hAnsi="Times New Roman" w:cs="Times New Roman"/>
          <w:b/>
          <w:bCs/>
        </w:rPr>
      </w:pPr>
      <w:r w:rsidRPr="00700AF6">
        <w:rPr>
          <w:rFonts w:ascii="Times New Roman" w:hAnsi="Times New Roman" w:cs="Times New Roman"/>
          <w:b/>
          <w:bCs/>
        </w:rPr>
        <w:lastRenderedPageBreak/>
        <w:t xml:space="preserve">Unit </w:t>
      </w:r>
      <w:r>
        <w:rPr>
          <w:rFonts w:ascii="Times New Roman" w:hAnsi="Times New Roman" w:cs="Times New Roman"/>
          <w:b/>
          <w:bCs/>
        </w:rPr>
        <w:t>4</w:t>
      </w:r>
      <w:r w:rsidRPr="00700AF6">
        <w:rPr>
          <w:rFonts w:ascii="Times New Roman" w:hAnsi="Times New Roman" w:cs="Times New Roman"/>
          <w:b/>
          <w:bCs/>
        </w:rPr>
        <w:t>:  Probabilistic causation</w:t>
      </w:r>
    </w:p>
    <w:p w14:paraId="1CA40DAB" w14:textId="041EA091" w:rsidR="004D7952" w:rsidRPr="00A94BFF" w:rsidRDefault="004D7952" w:rsidP="004D7952">
      <w:pPr>
        <w:tabs>
          <w:tab w:val="left" w:pos="1080"/>
        </w:tabs>
        <w:ind w:left="360"/>
        <w:rPr>
          <w:rFonts w:ascii="Times New Roman" w:hAnsi="Times New Roman" w:cs="Times New Roman"/>
        </w:rPr>
      </w:pPr>
      <w:r>
        <w:rPr>
          <w:rFonts w:ascii="Times New Roman" w:hAnsi="Times New Roman" w:cs="Times New Roman"/>
        </w:rPr>
        <w:t>10/25</w:t>
      </w:r>
      <w:r>
        <w:rPr>
          <w:rFonts w:ascii="Times New Roman" w:hAnsi="Times New Roman" w:cs="Times New Roman"/>
        </w:rPr>
        <w:tab/>
      </w:r>
      <w:r w:rsidRPr="004D7952">
        <w:rPr>
          <w:rFonts w:ascii="Times New Roman" w:hAnsi="Times New Roman" w:cs="Times New Roman"/>
        </w:rPr>
        <w:t>Lewis, “Postscript B”</w:t>
      </w:r>
    </w:p>
    <w:p w14:paraId="5CAD2120" w14:textId="5E6FB8EE" w:rsidR="004D7952" w:rsidRPr="004D7952" w:rsidRDefault="004D7952" w:rsidP="004D7952">
      <w:pPr>
        <w:tabs>
          <w:tab w:val="left" w:pos="1080"/>
        </w:tabs>
        <w:ind w:left="1440" w:hanging="360"/>
        <w:rPr>
          <w:rFonts w:ascii="Times New Roman" w:hAnsi="Times New Roman" w:cs="Times New Roman"/>
        </w:rPr>
      </w:pPr>
      <w:r w:rsidRPr="004D7952">
        <w:rPr>
          <w:rFonts w:ascii="Times New Roman" w:hAnsi="Times New Roman" w:cs="Times New Roman"/>
        </w:rPr>
        <w:t xml:space="preserve">Sartorio, </w:t>
      </w:r>
      <w:proofErr w:type="spellStart"/>
      <w:r w:rsidRPr="004D7952">
        <w:rPr>
          <w:rFonts w:ascii="Times New Roman" w:hAnsi="Times New Roman" w:cs="Times New Roman"/>
          <w:i/>
          <w:iCs/>
        </w:rPr>
        <w:t>Causalism</w:t>
      </w:r>
      <w:proofErr w:type="spellEnd"/>
      <w:r w:rsidRPr="004D7952">
        <w:rPr>
          <w:rFonts w:ascii="Times New Roman" w:hAnsi="Times New Roman" w:cs="Times New Roman"/>
        </w:rPr>
        <w:t xml:space="preserve">, chapter </w:t>
      </w:r>
      <w:r w:rsidR="00A939C2">
        <w:rPr>
          <w:rFonts w:ascii="Times New Roman" w:hAnsi="Times New Roman" w:cs="Times New Roman"/>
        </w:rPr>
        <w:t>6</w:t>
      </w:r>
    </w:p>
    <w:p w14:paraId="78DCB7D1" w14:textId="77777777" w:rsidR="004D7952" w:rsidRPr="006B5D32" w:rsidRDefault="004D7952" w:rsidP="004D7952">
      <w:pPr>
        <w:tabs>
          <w:tab w:val="left" w:pos="1080"/>
        </w:tabs>
        <w:ind w:left="1440" w:hanging="360"/>
        <w:rPr>
          <w:rFonts w:ascii="Times New Roman" w:hAnsi="Times New Roman" w:cs="Times New Roman"/>
        </w:rPr>
      </w:pPr>
      <w:r>
        <w:rPr>
          <w:rFonts w:ascii="Times New Roman" w:hAnsi="Times New Roman" w:cs="Times New Roman"/>
        </w:rPr>
        <w:t xml:space="preserve">Bennett, </w:t>
      </w:r>
      <w:r>
        <w:rPr>
          <w:rFonts w:ascii="Times New Roman" w:hAnsi="Times New Roman" w:cs="Times New Roman"/>
          <w:i/>
          <w:iCs/>
        </w:rPr>
        <w:t>Making Things Up</w:t>
      </w:r>
      <w:r>
        <w:rPr>
          <w:rFonts w:ascii="Times New Roman" w:hAnsi="Times New Roman" w:cs="Times New Roman"/>
        </w:rPr>
        <w:t>, pp. 81-82</w:t>
      </w:r>
    </w:p>
    <w:p w14:paraId="4684BC0B" w14:textId="77777777" w:rsidR="004D7952" w:rsidRDefault="004D7952" w:rsidP="004D7952">
      <w:pPr>
        <w:tabs>
          <w:tab w:val="left" w:pos="1080"/>
        </w:tabs>
        <w:ind w:left="1440" w:hanging="360"/>
        <w:rPr>
          <w:rFonts w:ascii="Times New Roman" w:hAnsi="Times New Roman" w:cs="Times New Roman"/>
        </w:rPr>
      </w:pPr>
      <w:r>
        <w:rPr>
          <w:rFonts w:ascii="Times New Roman" w:hAnsi="Times New Roman" w:cs="Times New Roman"/>
        </w:rPr>
        <w:t>Bennett, section 1.2 “Indeterministic Causation” of “Reply to Audi, Bliss, Rosen, Schaffer, and Wang”</w:t>
      </w:r>
    </w:p>
    <w:p w14:paraId="7876AA90" w14:textId="77777777" w:rsidR="004D7952" w:rsidRDefault="004D7952" w:rsidP="00E4604D">
      <w:pPr>
        <w:tabs>
          <w:tab w:val="left" w:pos="1080"/>
        </w:tabs>
        <w:rPr>
          <w:rFonts w:ascii="Times New Roman" w:hAnsi="Times New Roman" w:cs="Times New Roman"/>
        </w:rPr>
      </w:pPr>
    </w:p>
    <w:p w14:paraId="78101621" w14:textId="0B2C9205" w:rsidR="00700AF6" w:rsidRPr="00700AF6" w:rsidRDefault="00700AF6" w:rsidP="00700AF6">
      <w:pPr>
        <w:tabs>
          <w:tab w:val="left" w:pos="1080"/>
        </w:tabs>
        <w:rPr>
          <w:rFonts w:ascii="Times New Roman" w:hAnsi="Times New Roman" w:cs="Times New Roman"/>
          <w:b/>
          <w:bCs/>
        </w:rPr>
      </w:pPr>
      <w:r w:rsidRPr="00700AF6">
        <w:rPr>
          <w:rFonts w:ascii="Times New Roman" w:hAnsi="Times New Roman" w:cs="Times New Roman"/>
          <w:b/>
          <w:bCs/>
        </w:rPr>
        <w:t>Unit 5:  Causation and grounding</w:t>
      </w:r>
    </w:p>
    <w:p w14:paraId="4A605A10" w14:textId="4AFF6C13" w:rsidR="0003047F" w:rsidRDefault="0003047F" w:rsidP="0003047F">
      <w:pPr>
        <w:tabs>
          <w:tab w:val="left" w:pos="1080"/>
        </w:tabs>
        <w:ind w:left="360"/>
        <w:rPr>
          <w:rFonts w:ascii="Times New Roman" w:hAnsi="Times New Roman" w:cs="Times New Roman"/>
        </w:rPr>
      </w:pPr>
      <w:r>
        <w:rPr>
          <w:rFonts w:ascii="Times New Roman" w:hAnsi="Times New Roman" w:cs="Times New Roman"/>
        </w:rPr>
        <w:t>11/1</w:t>
      </w:r>
      <w:r w:rsidR="000441D2">
        <w:rPr>
          <w:rFonts w:ascii="Times New Roman" w:hAnsi="Times New Roman" w:cs="Times New Roman"/>
        </w:rPr>
        <w:tab/>
        <w:t xml:space="preserve">Bennett, §§4-4.2 of </w:t>
      </w:r>
      <w:r w:rsidR="000441D2">
        <w:rPr>
          <w:rFonts w:ascii="Times New Roman" w:hAnsi="Times New Roman" w:cs="Times New Roman"/>
          <w:i/>
          <w:iCs/>
        </w:rPr>
        <w:t>Making Things Up</w:t>
      </w:r>
    </w:p>
    <w:p w14:paraId="20DA209D" w14:textId="68C45547" w:rsidR="000441D2" w:rsidRPr="000441D2" w:rsidRDefault="000441D2" w:rsidP="0003047F">
      <w:pPr>
        <w:tabs>
          <w:tab w:val="left" w:pos="1080"/>
        </w:tabs>
        <w:ind w:left="360"/>
        <w:rPr>
          <w:rFonts w:ascii="Times New Roman" w:hAnsi="Times New Roman" w:cs="Times New Roman"/>
        </w:rPr>
      </w:pPr>
      <w:r>
        <w:rPr>
          <w:rFonts w:ascii="Times New Roman" w:hAnsi="Times New Roman" w:cs="Times New Roman"/>
        </w:rPr>
        <w:tab/>
        <w:t>Bennett, §</w:t>
      </w:r>
      <w:r w:rsidR="004D644B">
        <w:rPr>
          <w:rFonts w:ascii="Times New Roman" w:hAnsi="Times New Roman" w:cs="Times New Roman"/>
        </w:rPr>
        <w:t>1 of “Reply to Audi, Bliss, Rosen, Schaffer, and Wang”</w:t>
      </w:r>
    </w:p>
    <w:p w14:paraId="40E7BC53" w14:textId="77777777" w:rsidR="009507AE" w:rsidRDefault="009507AE" w:rsidP="009507AE">
      <w:pPr>
        <w:tabs>
          <w:tab w:val="left" w:pos="1080"/>
        </w:tabs>
        <w:rPr>
          <w:rFonts w:ascii="Times New Roman" w:hAnsi="Times New Roman" w:cs="Times New Roman"/>
        </w:rPr>
      </w:pPr>
    </w:p>
    <w:p w14:paraId="4818ED89" w14:textId="73077924" w:rsidR="009507AE" w:rsidRPr="00F7641C" w:rsidRDefault="009507AE" w:rsidP="009507AE">
      <w:pPr>
        <w:tabs>
          <w:tab w:val="left" w:pos="1080"/>
        </w:tabs>
        <w:rPr>
          <w:rFonts w:ascii="Times New Roman" w:hAnsi="Times New Roman" w:cs="Times New Roman"/>
          <w:b/>
          <w:bCs/>
        </w:rPr>
      </w:pPr>
      <w:r w:rsidRPr="00F7641C">
        <w:rPr>
          <w:rFonts w:ascii="Times New Roman" w:hAnsi="Times New Roman" w:cs="Times New Roman"/>
          <w:b/>
          <w:bCs/>
        </w:rPr>
        <w:t>Unit 6:  Causation, free will, moral responsibility</w:t>
      </w:r>
    </w:p>
    <w:p w14:paraId="6798CC4E" w14:textId="660BCF08" w:rsidR="00700AF6" w:rsidRDefault="00700AF6" w:rsidP="00700AF6">
      <w:pPr>
        <w:tabs>
          <w:tab w:val="left" w:pos="1080"/>
        </w:tabs>
        <w:ind w:left="360"/>
        <w:rPr>
          <w:rFonts w:ascii="Times New Roman" w:hAnsi="Times New Roman" w:cs="Times New Roman"/>
        </w:rPr>
      </w:pPr>
      <w:r>
        <w:rPr>
          <w:rFonts w:ascii="Times New Roman" w:hAnsi="Times New Roman" w:cs="Times New Roman"/>
        </w:rPr>
        <w:t>11/8</w:t>
      </w:r>
      <w:r w:rsidR="003B5F26">
        <w:rPr>
          <w:rFonts w:ascii="Times New Roman" w:hAnsi="Times New Roman" w:cs="Times New Roman"/>
        </w:rPr>
        <w:tab/>
        <w:t>Sartorio, “Responsibility and Causation,” section 2</w:t>
      </w:r>
    </w:p>
    <w:p w14:paraId="6E1265F5" w14:textId="3EDC1B47" w:rsidR="003B5F26" w:rsidRDefault="003B5F26" w:rsidP="00700AF6">
      <w:pPr>
        <w:tabs>
          <w:tab w:val="left" w:pos="1080"/>
        </w:tabs>
        <w:ind w:left="360"/>
        <w:rPr>
          <w:rFonts w:ascii="Times New Roman" w:hAnsi="Times New Roman" w:cs="Times New Roman"/>
        </w:rPr>
      </w:pPr>
      <w:r>
        <w:rPr>
          <w:rFonts w:ascii="Times New Roman" w:hAnsi="Times New Roman" w:cs="Times New Roman"/>
        </w:rPr>
        <w:tab/>
        <w:t>Sartorio, “</w:t>
      </w:r>
      <w:r>
        <w:rPr>
          <w:rFonts w:ascii="Times New Roman" w:hAnsi="Times New Roman" w:cs="Times New Roman"/>
          <w:i/>
          <w:iCs/>
        </w:rPr>
        <w:t>Causation and Free Will</w:t>
      </w:r>
      <w:r>
        <w:rPr>
          <w:rFonts w:ascii="Times New Roman" w:hAnsi="Times New Roman" w:cs="Times New Roman"/>
        </w:rPr>
        <w:t>, chapter 2</w:t>
      </w:r>
    </w:p>
    <w:p w14:paraId="1D0F419F" w14:textId="3D6521B3" w:rsidR="006A4C0C" w:rsidRPr="003B5F26" w:rsidRDefault="006A4C0C" w:rsidP="00700AF6">
      <w:pPr>
        <w:tabs>
          <w:tab w:val="left" w:pos="1080"/>
        </w:tabs>
        <w:ind w:left="360"/>
        <w:rPr>
          <w:rFonts w:ascii="Times New Roman" w:hAnsi="Times New Roman" w:cs="Times New Roman"/>
        </w:rPr>
      </w:pPr>
      <w:r>
        <w:rPr>
          <w:rFonts w:ascii="Times New Roman" w:hAnsi="Times New Roman" w:cs="Times New Roman"/>
        </w:rPr>
        <w:tab/>
        <w:t>Sartorio, “Resultant Luck and the Thirsty Traveler”</w:t>
      </w:r>
    </w:p>
    <w:p w14:paraId="251E3D9F" w14:textId="77777777" w:rsidR="00700AF6" w:rsidRDefault="00700AF6" w:rsidP="00700AF6">
      <w:pPr>
        <w:tabs>
          <w:tab w:val="left" w:pos="1080"/>
        </w:tabs>
        <w:ind w:left="360"/>
        <w:rPr>
          <w:rFonts w:ascii="Times New Roman" w:hAnsi="Times New Roman" w:cs="Times New Roman"/>
        </w:rPr>
      </w:pPr>
    </w:p>
    <w:p w14:paraId="36DF027F" w14:textId="1F12F157" w:rsidR="00700AF6" w:rsidRDefault="00700AF6" w:rsidP="00700AF6">
      <w:pPr>
        <w:tabs>
          <w:tab w:val="left" w:pos="1080"/>
        </w:tabs>
        <w:ind w:left="360"/>
        <w:rPr>
          <w:rFonts w:ascii="Times New Roman" w:hAnsi="Times New Roman" w:cs="Times New Roman"/>
        </w:rPr>
      </w:pPr>
      <w:r>
        <w:rPr>
          <w:rFonts w:ascii="Times New Roman" w:hAnsi="Times New Roman" w:cs="Times New Roman"/>
        </w:rPr>
        <w:t>11/15</w:t>
      </w:r>
      <w:r w:rsidR="006A4C0C">
        <w:rPr>
          <w:rFonts w:ascii="Times New Roman" w:hAnsi="Times New Roman" w:cs="Times New Roman"/>
        </w:rPr>
        <w:tab/>
        <w:t>Sartorio, “Responsibility and Causation”</w:t>
      </w:r>
    </w:p>
    <w:p w14:paraId="34C1516D" w14:textId="045AF884" w:rsidR="006A4C0C" w:rsidRDefault="006A4C0C" w:rsidP="00700AF6">
      <w:pPr>
        <w:tabs>
          <w:tab w:val="left" w:pos="1080"/>
        </w:tabs>
        <w:ind w:left="360"/>
        <w:rPr>
          <w:rFonts w:ascii="Times New Roman" w:hAnsi="Times New Roman" w:cs="Times New Roman"/>
        </w:rPr>
      </w:pPr>
      <w:r>
        <w:rPr>
          <w:rFonts w:ascii="Times New Roman" w:hAnsi="Times New Roman" w:cs="Times New Roman"/>
        </w:rPr>
        <w:tab/>
        <w:t>Frankfurt, “Alternative Possibilities and Moral Responsibility”</w:t>
      </w:r>
    </w:p>
    <w:p w14:paraId="30FC815F" w14:textId="63E091F7" w:rsidR="006A4C0C" w:rsidRDefault="006A4C0C" w:rsidP="00700AF6">
      <w:pPr>
        <w:tabs>
          <w:tab w:val="left" w:pos="1080"/>
        </w:tabs>
        <w:ind w:left="360"/>
        <w:rPr>
          <w:rFonts w:ascii="Times New Roman" w:hAnsi="Times New Roman" w:cs="Times New Roman"/>
        </w:rPr>
      </w:pPr>
      <w:r>
        <w:rPr>
          <w:rFonts w:ascii="Times New Roman" w:hAnsi="Times New Roman" w:cs="Times New Roman"/>
        </w:rPr>
        <w:tab/>
        <w:t xml:space="preserve">Sartorio, </w:t>
      </w:r>
      <w:r w:rsidRPr="006A4C0C">
        <w:rPr>
          <w:rFonts w:ascii="Times New Roman" w:hAnsi="Times New Roman" w:cs="Times New Roman"/>
          <w:i/>
          <w:iCs/>
        </w:rPr>
        <w:t>Causation and Free Will</w:t>
      </w:r>
      <w:r>
        <w:rPr>
          <w:rFonts w:ascii="Times New Roman" w:hAnsi="Times New Roman" w:cs="Times New Roman"/>
        </w:rPr>
        <w:t>, chapter 4</w:t>
      </w:r>
    </w:p>
    <w:p w14:paraId="087138D3" w14:textId="04B3021D" w:rsidR="00700AF6" w:rsidRDefault="00700AF6" w:rsidP="00700AF6">
      <w:pPr>
        <w:tabs>
          <w:tab w:val="left" w:pos="1080"/>
        </w:tabs>
        <w:rPr>
          <w:rFonts w:ascii="Times New Roman" w:hAnsi="Times New Roman" w:cs="Times New Roman"/>
        </w:rPr>
      </w:pPr>
    </w:p>
    <w:p w14:paraId="1D399B8D" w14:textId="77777777" w:rsidR="00E4604D" w:rsidRDefault="00E4604D" w:rsidP="00E4604D">
      <w:pPr>
        <w:tabs>
          <w:tab w:val="left" w:pos="1080"/>
        </w:tabs>
        <w:ind w:left="360"/>
        <w:rPr>
          <w:rFonts w:ascii="Times New Roman" w:hAnsi="Times New Roman" w:cs="Times New Roman"/>
        </w:rPr>
      </w:pPr>
      <w:r w:rsidRPr="007801F0">
        <w:rPr>
          <w:rFonts w:ascii="Times New Roman" w:hAnsi="Times New Roman" w:cs="Times New Roman"/>
          <w:b/>
          <w:bCs/>
        </w:rPr>
        <w:t>11/</w:t>
      </w:r>
      <w:proofErr w:type="gramStart"/>
      <w:r w:rsidRPr="007801F0">
        <w:rPr>
          <w:rFonts w:ascii="Times New Roman" w:hAnsi="Times New Roman" w:cs="Times New Roman"/>
          <w:b/>
          <w:bCs/>
        </w:rPr>
        <w:t>22</w:t>
      </w:r>
      <w:r>
        <w:rPr>
          <w:rFonts w:ascii="Times New Roman" w:hAnsi="Times New Roman" w:cs="Times New Roman"/>
        </w:rPr>
        <w:t xml:space="preserve">  </w:t>
      </w:r>
      <w:r>
        <w:rPr>
          <w:rFonts w:ascii="Times New Roman" w:hAnsi="Times New Roman" w:cs="Times New Roman"/>
          <w:b/>
          <w:bCs/>
        </w:rPr>
        <w:t>no</w:t>
      </w:r>
      <w:proofErr w:type="gramEnd"/>
      <w:r>
        <w:rPr>
          <w:rFonts w:ascii="Times New Roman" w:hAnsi="Times New Roman" w:cs="Times New Roman"/>
          <w:b/>
          <w:bCs/>
        </w:rPr>
        <w:t xml:space="preserve"> class </w:t>
      </w:r>
      <w:r>
        <w:rPr>
          <w:rFonts w:ascii="Times New Roman" w:hAnsi="Times New Roman" w:cs="Times New Roman"/>
        </w:rPr>
        <w:t xml:space="preserve"> (Rutgers runs Thursday classes)</w:t>
      </w:r>
    </w:p>
    <w:p w14:paraId="7311AFE9" w14:textId="77777777" w:rsidR="0080572A" w:rsidRDefault="0080572A" w:rsidP="00E4604D">
      <w:pPr>
        <w:tabs>
          <w:tab w:val="left" w:pos="1080"/>
        </w:tabs>
        <w:ind w:left="360"/>
        <w:rPr>
          <w:rFonts w:ascii="Times New Roman" w:hAnsi="Times New Roman" w:cs="Times New Roman"/>
          <w:b/>
          <w:bCs/>
        </w:rPr>
      </w:pPr>
    </w:p>
    <w:p w14:paraId="447D1B34" w14:textId="3302EAC5" w:rsidR="00E4604D" w:rsidRDefault="00E4604D" w:rsidP="00E4604D">
      <w:pPr>
        <w:tabs>
          <w:tab w:val="left" w:pos="1080"/>
        </w:tabs>
        <w:ind w:left="360"/>
        <w:rPr>
          <w:rFonts w:ascii="Times New Roman" w:hAnsi="Times New Roman" w:cs="Times New Roman"/>
        </w:rPr>
      </w:pPr>
      <w:r w:rsidRPr="009C11EF">
        <w:rPr>
          <w:rFonts w:ascii="Times New Roman" w:hAnsi="Times New Roman" w:cs="Times New Roman"/>
          <w:b/>
          <w:bCs/>
        </w:rPr>
        <w:t>11/</w:t>
      </w:r>
      <w:proofErr w:type="gramStart"/>
      <w:r w:rsidRPr="009C11EF">
        <w:rPr>
          <w:rFonts w:ascii="Times New Roman" w:hAnsi="Times New Roman" w:cs="Times New Roman"/>
          <w:b/>
          <w:bCs/>
        </w:rPr>
        <w:t xml:space="preserve">29  </w:t>
      </w:r>
      <w:r>
        <w:rPr>
          <w:rFonts w:ascii="Times New Roman" w:hAnsi="Times New Roman" w:cs="Times New Roman"/>
          <w:b/>
          <w:bCs/>
        </w:rPr>
        <w:t>no</w:t>
      </w:r>
      <w:proofErr w:type="gramEnd"/>
      <w:r>
        <w:rPr>
          <w:rFonts w:ascii="Times New Roman" w:hAnsi="Times New Roman" w:cs="Times New Roman"/>
          <w:b/>
          <w:bCs/>
        </w:rPr>
        <w:t xml:space="preserve"> class </w:t>
      </w:r>
      <w:r w:rsidR="0080572A" w:rsidRPr="0080572A">
        <w:rPr>
          <w:rFonts w:ascii="Times New Roman" w:hAnsi="Times New Roman" w:cs="Times New Roman"/>
        </w:rPr>
        <w:t>(Rutgers-</w:t>
      </w:r>
      <w:r w:rsidRPr="0080572A">
        <w:rPr>
          <w:rFonts w:ascii="Times New Roman" w:hAnsi="Times New Roman" w:cs="Times New Roman"/>
        </w:rPr>
        <w:t xml:space="preserve">Tel </w:t>
      </w:r>
      <w:proofErr w:type="spellStart"/>
      <w:r w:rsidRPr="0080572A">
        <w:rPr>
          <w:rFonts w:ascii="Times New Roman" w:hAnsi="Times New Roman" w:cs="Times New Roman"/>
        </w:rPr>
        <w:t>aviv</w:t>
      </w:r>
      <w:proofErr w:type="spellEnd"/>
      <w:r w:rsidRPr="0080572A">
        <w:rPr>
          <w:rFonts w:ascii="Times New Roman" w:hAnsi="Times New Roman" w:cs="Times New Roman"/>
        </w:rPr>
        <w:t xml:space="preserve"> personal identity conference</w:t>
      </w:r>
      <w:r w:rsidR="0080572A">
        <w:rPr>
          <w:rFonts w:ascii="Times New Roman" w:hAnsi="Times New Roman" w:cs="Times New Roman"/>
        </w:rPr>
        <w:t>)</w:t>
      </w:r>
    </w:p>
    <w:p w14:paraId="7B54F022" w14:textId="1E81C425" w:rsidR="00E4604D" w:rsidRDefault="00E4604D" w:rsidP="00E4604D">
      <w:pPr>
        <w:tabs>
          <w:tab w:val="left" w:pos="1080"/>
        </w:tabs>
        <w:rPr>
          <w:rFonts w:ascii="Times New Roman" w:hAnsi="Times New Roman" w:cs="Times New Roman"/>
        </w:rPr>
      </w:pPr>
    </w:p>
    <w:p w14:paraId="734E7397" w14:textId="0F3522A1" w:rsidR="0080572A" w:rsidRPr="0080572A" w:rsidRDefault="0080572A" w:rsidP="00E4604D">
      <w:pPr>
        <w:tabs>
          <w:tab w:val="left" w:pos="1080"/>
        </w:tabs>
        <w:rPr>
          <w:rFonts w:ascii="Times New Roman" w:hAnsi="Times New Roman" w:cs="Times New Roman"/>
          <w:b/>
          <w:bCs/>
        </w:rPr>
      </w:pPr>
      <w:r>
        <w:rPr>
          <w:rFonts w:ascii="Times New Roman" w:hAnsi="Times New Roman" w:cs="Times New Roman"/>
          <w:b/>
          <w:bCs/>
        </w:rPr>
        <w:t xml:space="preserve">Round </w:t>
      </w:r>
      <w:r w:rsidRPr="0080572A">
        <w:rPr>
          <w:rFonts w:ascii="Times New Roman" w:hAnsi="Times New Roman" w:cs="Times New Roman"/>
          <w:b/>
          <w:bCs/>
        </w:rPr>
        <w:t>2</w:t>
      </w:r>
      <w:r>
        <w:rPr>
          <w:rFonts w:ascii="Times New Roman" w:hAnsi="Times New Roman" w:cs="Times New Roman"/>
          <w:b/>
          <w:bCs/>
        </w:rPr>
        <w:t xml:space="preserve"> of </w:t>
      </w:r>
      <w:r w:rsidR="003C2CFA">
        <w:rPr>
          <w:rFonts w:ascii="Times New Roman" w:hAnsi="Times New Roman" w:cs="Times New Roman"/>
          <w:b/>
          <w:bCs/>
        </w:rPr>
        <w:t>presentations</w:t>
      </w:r>
      <w:r w:rsidRPr="0080572A">
        <w:rPr>
          <w:rFonts w:ascii="Times New Roman" w:hAnsi="Times New Roman" w:cs="Times New Roman"/>
          <w:b/>
          <w:bCs/>
        </w:rPr>
        <w:t xml:space="preserve">: </w:t>
      </w:r>
    </w:p>
    <w:p w14:paraId="4B36C1CB" w14:textId="77777777" w:rsidR="00E4604D" w:rsidRDefault="00E4604D" w:rsidP="00E4604D">
      <w:pPr>
        <w:tabs>
          <w:tab w:val="left" w:pos="1080"/>
        </w:tabs>
        <w:ind w:left="360"/>
        <w:rPr>
          <w:rFonts w:ascii="Times New Roman" w:hAnsi="Times New Roman" w:cs="Times New Roman"/>
        </w:rPr>
      </w:pPr>
      <w:r>
        <w:rPr>
          <w:rFonts w:ascii="Times New Roman" w:hAnsi="Times New Roman" w:cs="Times New Roman"/>
        </w:rPr>
        <w:t>12/6</w:t>
      </w:r>
      <w:r>
        <w:rPr>
          <w:rFonts w:ascii="Times New Roman" w:hAnsi="Times New Roman" w:cs="Times New Roman"/>
        </w:rPr>
        <w:tab/>
        <w:t>presentations</w:t>
      </w:r>
    </w:p>
    <w:p w14:paraId="74BFB5B5" w14:textId="77777777" w:rsidR="00E4604D" w:rsidRDefault="00E4604D" w:rsidP="00E4604D">
      <w:pPr>
        <w:tabs>
          <w:tab w:val="left" w:pos="1080"/>
        </w:tabs>
        <w:ind w:left="360"/>
        <w:rPr>
          <w:rFonts w:ascii="Times New Roman" w:hAnsi="Times New Roman" w:cs="Times New Roman"/>
        </w:rPr>
      </w:pPr>
      <w:r>
        <w:rPr>
          <w:rFonts w:ascii="Times New Roman" w:hAnsi="Times New Roman" w:cs="Times New Roman"/>
        </w:rPr>
        <w:t>12/13</w:t>
      </w:r>
      <w:r>
        <w:rPr>
          <w:rFonts w:ascii="Times New Roman" w:hAnsi="Times New Roman" w:cs="Times New Roman"/>
        </w:rPr>
        <w:tab/>
        <w:t>presentations</w:t>
      </w:r>
    </w:p>
    <w:p w14:paraId="79AAD424" w14:textId="77777777" w:rsidR="00E4604D" w:rsidRDefault="00E4604D" w:rsidP="00E4604D">
      <w:pPr>
        <w:tabs>
          <w:tab w:val="left" w:pos="1080"/>
        </w:tabs>
        <w:ind w:left="360"/>
        <w:rPr>
          <w:rFonts w:ascii="Times New Roman" w:hAnsi="Times New Roman" w:cs="Times New Roman"/>
        </w:rPr>
      </w:pPr>
    </w:p>
    <w:p w14:paraId="453E15D5" w14:textId="77777777" w:rsidR="005170BB" w:rsidRPr="00A174C7" w:rsidRDefault="005170BB" w:rsidP="009027F9">
      <w:pPr>
        <w:tabs>
          <w:tab w:val="left" w:pos="1080"/>
        </w:tabs>
        <w:rPr>
          <w:rFonts w:ascii="Times New Roman" w:hAnsi="Times New Roman" w:cs="Times New Roman"/>
        </w:rPr>
      </w:pPr>
    </w:p>
    <w:sectPr w:rsidR="005170BB" w:rsidRPr="00A174C7" w:rsidSect="00CD17B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589"/>
    <w:multiLevelType w:val="hybridMultilevel"/>
    <w:tmpl w:val="A6687E40"/>
    <w:numStyleLink w:val="Bullet"/>
  </w:abstractNum>
  <w:abstractNum w:abstractNumId="1" w15:restartNumberingAfterBreak="0">
    <w:nsid w:val="65AD79AA"/>
    <w:multiLevelType w:val="hybridMultilevel"/>
    <w:tmpl w:val="A6687E40"/>
    <w:styleLink w:val="Bullet"/>
    <w:lvl w:ilvl="0" w:tplc="F39897A0">
      <w:start w:val="1"/>
      <w:numFmt w:val="bullet"/>
      <w:lvlText w:val="•"/>
      <w:lvlJc w:val="left"/>
      <w:pPr>
        <w:ind w:left="720" w:hanging="500"/>
      </w:pPr>
      <w:rPr>
        <w:rFonts w:ascii="Arial" w:eastAsia="Arial" w:hAnsi="Arial" w:cs="Arial"/>
        <w:b w:val="0"/>
        <w:bCs w:val="0"/>
        <w:i w:val="0"/>
        <w:iCs w:val="0"/>
        <w:caps w:val="0"/>
        <w:smallCaps w:val="0"/>
        <w:strike w:val="0"/>
        <w:dstrike w:val="0"/>
        <w:color w:val="333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0B6E">
      <w:start w:val="1"/>
      <w:numFmt w:val="bullet"/>
      <w:lvlText w:val="•"/>
      <w:lvlJc w:val="left"/>
      <w:pPr>
        <w:ind w:left="86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40CE3C">
      <w:start w:val="1"/>
      <w:numFmt w:val="bullet"/>
      <w:lvlText w:val="•"/>
      <w:lvlJc w:val="left"/>
      <w:pPr>
        <w:ind w:left="108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1859F6">
      <w:start w:val="1"/>
      <w:numFmt w:val="bullet"/>
      <w:lvlText w:val="•"/>
      <w:lvlJc w:val="left"/>
      <w:pPr>
        <w:ind w:left="130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FCC042">
      <w:start w:val="1"/>
      <w:numFmt w:val="bullet"/>
      <w:lvlText w:val="•"/>
      <w:lvlJc w:val="left"/>
      <w:pPr>
        <w:ind w:left="152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4C6F4">
      <w:start w:val="1"/>
      <w:numFmt w:val="bullet"/>
      <w:lvlText w:val="•"/>
      <w:lvlJc w:val="left"/>
      <w:pPr>
        <w:ind w:left="174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5ECB70">
      <w:start w:val="1"/>
      <w:numFmt w:val="bullet"/>
      <w:lvlText w:val="•"/>
      <w:lvlJc w:val="left"/>
      <w:pPr>
        <w:ind w:left="196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C03FC">
      <w:start w:val="1"/>
      <w:numFmt w:val="bullet"/>
      <w:lvlText w:val="•"/>
      <w:lvlJc w:val="left"/>
      <w:pPr>
        <w:ind w:left="218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8A620E">
      <w:start w:val="1"/>
      <w:numFmt w:val="bullet"/>
      <w:lvlText w:val="•"/>
      <w:lvlJc w:val="left"/>
      <w:pPr>
        <w:ind w:left="2409" w:hanging="429"/>
      </w:pPr>
      <w:rPr>
        <w:rFonts w:ascii="Arial" w:eastAsia="Arial" w:hAnsi="Arial" w:cs="Arial"/>
        <w:b w:val="0"/>
        <w:bCs w:val="0"/>
        <w:i w:val="0"/>
        <w:iCs w:val="0"/>
        <w:caps w:val="0"/>
        <w:smallCaps w:val="0"/>
        <w:strike w:val="0"/>
        <w:dstrike w:val="0"/>
        <w:color w:val="333333"/>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60491822">
    <w:abstractNumId w:val="1"/>
  </w:num>
  <w:num w:numId="2" w16cid:durableId="647369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7"/>
    <w:rsid w:val="0003047F"/>
    <w:rsid w:val="00040FDB"/>
    <w:rsid w:val="000441D2"/>
    <w:rsid w:val="00066678"/>
    <w:rsid w:val="0007638E"/>
    <w:rsid w:val="00095654"/>
    <w:rsid w:val="000F3C5D"/>
    <w:rsid w:val="0013644F"/>
    <w:rsid w:val="001424E2"/>
    <w:rsid w:val="00196AD0"/>
    <w:rsid w:val="001D3837"/>
    <w:rsid w:val="00215A5A"/>
    <w:rsid w:val="00226CA6"/>
    <w:rsid w:val="00255B75"/>
    <w:rsid w:val="002F1917"/>
    <w:rsid w:val="003704D5"/>
    <w:rsid w:val="00376472"/>
    <w:rsid w:val="00385716"/>
    <w:rsid w:val="003B5F26"/>
    <w:rsid w:val="003B5FDE"/>
    <w:rsid w:val="003C2CFA"/>
    <w:rsid w:val="0041127F"/>
    <w:rsid w:val="00443670"/>
    <w:rsid w:val="00487FE5"/>
    <w:rsid w:val="00491743"/>
    <w:rsid w:val="004B3F63"/>
    <w:rsid w:val="004C7FD8"/>
    <w:rsid w:val="004D644B"/>
    <w:rsid w:val="004D7952"/>
    <w:rsid w:val="005170BB"/>
    <w:rsid w:val="005F1149"/>
    <w:rsid w:val="00602FE5"/>
    <w:rsid w:val="00632990"/>
    <w:rsid w:val="00656044"/>
    <w:rsid w:val="006A4C0C"/>
    <w:rsid w:val="006A71D9"/>
    <w:rsid w:val="006B5D32"/>
    <w:rsid w:val="006B6D97"/>
    <w:rsid w:val="00700AF6"/>
    <w:rsid w:val="00766560"/>
    <w:rsid w:val="0077142D"/>
    <w:rsid w:val="007801F0"/>
    <w:rsid w:val="0080572A"/>
    <w:rsid w:val="008165F3"/>
    <w:rsid w:val="00835E6C"/>
    <w:rsid w:val="00876722"/>
    <w:rsid w:val="008A1B24"/>
    <w:rsid w:val="008C5D44"/>
    <w:rsid w:val="008D146E"/>
    <w:rsid w:val="008F6311"/>
    <w:rsid w:val="009027F9"/>
    <w:rsid w:val="009507AE"/>
    <w:rsid w:val="00951F13"/>
    <w:rsid w:val="00977ACE"/>
    <w:rsid w:val="00984A1E"/>
    <w:rsid w:val="009C11EF"/>
    <w:rsid w:val="009D62BA"/>
    <w:rsid w:val="009E571C"/>
    <w:rsid w:val="009F05CA"/>
    <w:rsid w:val="00A053D6"/>
    <w:rsid w:val="00A13C93"/>
    <w:rsid w:val="00A171D8"/>
    <w:rsid w:val="00A174C7"/>
    <w:rsid w:val="00A939C2"/>
    <w:rsid w:val="00A94BFF"/>
    <w:rsid w:val="00AD2736"/>
    <w:rsid w:val="00B3090B"/>
    <w:rsid w:val="00B6458F"/>
    <w:rsid w:val="00B70F7D"/>
    <w:rsid w:val="00B71CAE"/>
    <w:rsid w:val="00BE6A18"/>
    <w:rsid w:val="00C054F6"/>
    <w:rsid w:val="00C15159"/>
    <w:rsid w:val="00C67C68"/>
    <w:rsid w:val="00CD13EE"/>
    <w:rsid w:val="00CD17BF"/>
    <w:rsid w:val="00CE0B27"/>
    <w:rsid w:val="00D175A8"/>
    <w:rsid w:val="00D31713"/>
    <w:rsid w:val="00D96E18"/>
    <w:rsid w:val="00E4604D"/>
    <w:rsid w:val="00E4794A"/>
    <w:rsid w:val="00E565DE"/>
    <w:rsid w:val="00E75067"/>
    <w:rsid w:val="00EB29F1"/>
    <w:rsid w:val="00F11BE3"/>
    <w:rsid w:val="00F56E7F"/>
    <w:rsid w:val="00F7641C"/>
    <w:rsid w:val="00FA054D"/>
    <w:rsid w:val="00FA34B5"/>
    <w:rsid w:val="00FC6C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B64E6A"/>
  <w15:chartTrackingRefBased/>
  <w15:docId w15:val="{7153D248-6B71-6043-B427-5B6010D2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174C7"/>
    <w:pPr>
      <w:pBdr>
        <w:top w:val="nil"/>
        <w:left w:val="nil"/>
        <w:bottom w:val="nil"/>
        <w:right w:val="nil"/>
        <w:between w:val="nil"/>
        <w:bar w:val="nil"/>
      </w:pBdr>
    </w:pPr>
    <w:rPr>
      <w:rFonts w:ascii="Garamond" w:eastAsia="Arial Unicode MS" w:hAnsi="Garamond" w:cs="Arial Unicode MS"/>
      <w:color w:val="000000"/>
      <w:sz w:val="22"/>
      <w:szCs w:val="22"/>
      <w:bdr w:val="nil"/>
      <w:lang w:eastAsia="en-US"/>
      <w14:textOutline w14:w="0" w14:cap="flat" w14:cmpd="sng" w14:algn="ctr">
        <w14:noFill/>
        <w14:prstDash w14:val="solid"/>
        <w14:bevel/>
      </w14:textOutline>
    </w:rPr>
  </w:style>
  <w:style w:type="paragraph" w:customStyle="1" w:styleId="Default">
    <w:name w:val="Default"/>
    <w:rsid w:val="00A174C7"/>
    <w:pPr>
      <w:pBdr>
        <w:top w:val="nil"/>
        <w:left w:val="nil"/>
        <w:bottom w:val="nil"/>
        <w:right w:val="nil"/>
        <w:between w:val="nil"/>
        <w:bar w:val="nil"/>
      </w:pBdr>
      <w:spacing w:before="160"/>
    </w:pPr>
    <w:rPr>
      <w:rFonts w:ascii="Garamond" w:eastAsia="Arial Unicode MS" w:hAnsi="Garamond" w:cs="Arial Unicode MS"/>
      <w:color w:val="000000"/>
      <w:bdr w:val="nil"/>
      <w:lang w:eastAsia="en-US"/>
      <w14:textOutline w14:w="0" w14:cap="flat" w14:cmpd="sng" w14:algn="ctr">
        <w14:noFill/>
        <w14:prstDash w14:val="solid"/>
        <w14:bevel/>
      </w14:textOutline>
    </w:rPr>
  </w:style>
  <w:style w:type="numbering" w:customStyle="1" w:styleId="Bullet">
    <w:name w:val="Bullet"/>
    <w:rsid w:val="00A174C7"/>
    <w:pPr>
      <w:numPr>
        <w:numId w:val="1"/>
      </w:numPr>
    </w:pPr>
  </w:style>
  <w:style w:type="character" w:styleId="Hyperlink">
    <w:name w:val="Hyperlink"/>
    <w:basedOn w:val="DefaultParagraphFont"/>
    <w:uiPriority w:val="99"/>
    <w:unhideWhenUsed/>
    <w:rsid w:val="0077142D"/>
    <w:rPr>
      <w:color w:val="0563C1" w:themeColor="hyperlink"/>
      <w:u w:val="single"/>
    </w:rPr>
  </w:style>
  <w:style w:type="character" w:styleId="UnresolvedMention">
    <w:name w:val="Unresolved Mention"/>
    <w:basedOn w:val="DefaultParagraphFont"/>
    <w:uiPriority w:val="99"/>
    <w:semiHidden/>
    <w:unhideWhenUsed/>
    <w:rsid w:val="00771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55648">
      <w:bodyDiv w:val="1"/>
      <w:marLeft w:val="0"/>
      <w:marRight w:val="0"/>
      <w:marTop w:val="0"/>
      <w:marBottom w:val="0"/>
      <w:divBdr>
        <w:top w:val="none" w:sz="0" w:space="0" w:color="auto"/>
        <w:left w:val="none" w:sz="0" w:space="0" w:color="auto"/>
        <w:bottom w:val="none" w:sz="0" w:space="0" w:color="auto"/>
        <w:right w:val="none" w:sz="0" w:space="0" w:color="auto"/>
      </w:divBdr>
      <w:divsChild>
        <w:div w:id="1477525764">
          <w:blockQuote w:val="1"/>
          <w:marLeft w:val="600"/>
          <w:marRight w:val="0"/>
          <w:marTop w:val="0"/>
          <w:marBottom w:val="0"/>
          <w:divBdr>
            <w:top w:val="none" w:sz="0" w:space="0" w:color="auto"/>
            <w:left w:val="none" w:sz="0" w:space="0" w:color="auto"/>
            <w:bottom w:val="none" w:sz="0" w:space="0" w:color="auto"/>
            <w:right w:val="none" w:sz="0" w:space="0" w:color="auto"/>
          </w:divBdr>
          <w:divsChild>
            <w:div w:id="3010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Microsoft Office User</cp:lastModifiedBy>
  <cp:revision>8</cp:revision>
  <cp:lastPrinted>2022-08-29T23:00:00Z</cp:lastPrinted>
  <dcterms:created xsi:type="dcterms:W3CDTF">2022-09-01T00:03:00Z</dcterms:created>
  <dcterms:modified xsi:type="dcterms:W3CDTF">2022-09-02T19:50:00Z</dcterms:modified>
</cp:coreProperties>
</file>